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38" w:rsidRDefault="00024238" w:rsidP="000242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238" w:rsidRDefault="00024238" w:rsidP="000242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210.105  Hearings</w:t>
      </w:r>
      <w:r>
        <w:t xml:space="preserve"> </w:t>
      </w:r>
    </w:p>
    <w:p w:rsidR="00024238" w:rsidRDefault="00024238" w:rsidP="00024238">
      <w:pPr>
        <w:widowControl w:val="0"/>
        <w:autoSpaceDE w:val="0"/>
        <w:autoSpaceDN w:val="0"/>
        <w:adjustRightInd w:val="0"/>
      </w:pPr>
    </w:p>
    <w:p w:rsidR="00024238" w:rsidRDefault="00024238" w:rsidP="00024238">
      <w:pPr>
        <w:widowControl w:val="0"/>
        <w:autoSpaceDE w:val="0"/>
        <w:autoSpaceDN w:val="0"/>
        <w:adjustRightInd w:val="0"/>
      </w:pPr>
      <w:r>
        <w:t xml:space="preserve">Any relevant factual matter may be determined by the Board informally.  If necessary to adequately develop the facts alleged to be grounds for relief, a hearing by a hearing officer, a Board Member, or the full Board may be held. </w:t>
      </w:r>
    </w:p>
    <w:p w:rsidR="00024238" w:rsidRDefault="00024238" w:rsidP="00024238">
      <w:pPr>
        <w:widowControl w:val="0"/>
        <w:autoSpaceDE w:val="0"/>
        <w:autoSpaceDN w:val="0"/>
        <w:adjustRightInd w:val="0"/>
      </w:pPr>
    </w:p>
    <w:p w:rsidR="00024238" w:rsidRDefault="00024238" w:rsidP="0002423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8860, effective June 2, 1993) </w:t>
      </w:r>
    </w:p>
    <w:sectPr w:rsidR="00024238" w:rsidSect="000242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238"/>
    <w:rsid w:val="00024238"/>
    <w:rsid w:val="00532247"/>
    <w:rsid w:val="005C3366"/>
    <w:rsid w:val="007D400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