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5F" w:rsidRDefault="00F1105F" w:rsidP="00F11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05F" w:rsidRDefault="00F1105F" w:rsidP="00F110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180.105  Responsibility Of Trustees, Receivers, Executors Or Administrators</w:t>
      </w:r>
      <w:r>
        <w:t xml:space="preserve"> </w:t>
      </w:r>
    </w:p>
    <w:p w:rsidR="00F1105F" w:rsidRDefault="00F1105F" w:rsidP="00F1105F">
      <w:pPr>
        <w:widowControl w:val="0"/>
        <w:autoSpaceDE w:val="0"/>
        <w:autoSpaceDN w:val="0"/>
        <w:adjustRightInd w:val="0"/>
      </w:pPr>
    </w:p>
    <w:p w:rsidR="00F1105F" w:rsidRDefault="00F1105F" w:rsidP="00F1105F">
      <w:pPr>
        <w:widowControl w:val="0"/>
        <w:autoSpaceDE w:val="0"/>
        <w:autoSpaceDN w:val="0"/>
        <w:adjustRightInd w:val="0"/>
      </w:pPr>
      <w:r>
        <w:t>Where trustees, receivers, executors or admin</w:t>
      </w:r>
      <w:r w:rsidR="003E0C01">
        <w:t>i</w:t>
      </w:r>
      <w:r>
        <w:t xml:space="preserve">strators (whether appointed by a Federal or a State court), by virtue of their appointment, continue to operate, manage or control a business and engage in the business of renting automobiles under lease terms of one year or less, they are liable for the Automobile Renting Occupation Tax. </w:t>
      </w:r>
    </w:p>
    <w:sectPr w:rsidR="00F1105F" w:rsidSect="00F11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05F"/>
    <w:rsid w:val="00267004"/>
    <w:rsid w:val="003E0C01"/>
    <w:rsid w:val="005C3366"/>
    <w:rsid w:val="009E56D2"/>
    <w:rsid w:val="00AC6214"/>
    <w:rsid w:val="00F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