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E53" w:rsidRDefault="00923E53" w:rsidP="00923E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3E53" w:rsidRDefault="00923E53" w:rsidP="00923E5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150.1320  Incorporation by Reference</w:t>
      </w:r>
      <w:r>
        <w:t xml:space="preserve"> </w:t>
      </w:r>
    </w:p>
    <w:p w:rsidR="00923E53" w:rsidRDefault="00923E53" w:rsidP="00923E53">
      <w:pPr>
        <w:widowControl w:val="0"/>
        <w:autoSpaceDE w:val="0"/>
        <w:autoSpaceDN w:val="0"/>
        <w:adjustRightInd w:val="0"/>
      </w:pPr>
    </w:p>
    <w:p w:rsidR="00923E53" w:rsidRDefault="00923E53" w:rsidP="00923E53">
      <w:pPr>
        <w:widowControl w:val="0"/>
        <w:autoSpaceDE w:val="0"/>
        <w:autoSpaceDN w:val="0"/>
        <w:adjustRightInd w:val="0"/>
      </w:pPr>
      <w:r>
        <w:t xml:space="preserve">In general, the provisions of various Retailers' Occupation Tax Regulations relative to books and records, such as Subpart H (dealing with books and records generally), Section 130.605 (concerning proof of out-of-State deliveries), Subpart N (concerning certificates of resale), etc., shall apply to the subject of books and records under the Use Tax Act. </w:t>
      </w:r>
    </w:p>
    <w:p w:rsidR="00923E53" w:rsidRDefault="00923E53" w:rsidP="00923E53">
      <w:pPr>
        <w:widowControl w:val="0"/>
        <w:autoSpaceDE w:val="0"/>
        <w:autoSpaceDN w:val="0"/>
        <w:adjustRightInd w:val="0"/>
      </w:pPr>
    </w:p>
    <w:p w:rsidR="00923E53" w:rsidRDefault="00923E53" w:rsidP="00923E5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and effective August 21, 1974) </w:t>
      </w:r>
    </w:p>
    <w:sectPr w:rsidR="00923E53" w:rsidSect="00923E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3E53"/>
    <w:rsid w:val="00345D3C"/>
    <w:rsid w:val="005C3366"/>
    <w:rsid w:val="00923E53"/>
    <w:rsid w:val="00C61F3D"/>
    <w:rsid w:val="00F3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Illinois General Assembly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