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AB" w:rsidRDefault="00B606AB" w:rsidP="00B606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6AB" w:rsidRDefault="00B606AB" w:rsidP="00B606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150.1315  Consequence of Not Complying with Requirement of Collecting Use Tax Separately From the Selling Price</w:t>
      </w:r>
      <w:r>
        <w:t xml:space="preserve"> </w:t>
      </w:r>
    </w:p>
    <w:p w:rsidR="00B606AB" w:rsidRDefault="00B606AB" w:rsidP="00B606AB">
      <w:pPr>
        <w:widowControl w:val="0"/>
        <w:autoSpaceDE w:val="0"/>
        <w:autoSpaceDN w:val="0"/>
        <w:adjustRightInd w:val="0"/>
      </w:pPr>
    </w:p>
    <w:p w:rsidR="00B606AB" w:rsidRDefault="00B606AB" w:rsidP="00B606AB">
      <w:pPr>
        <w:widowControl w:val="0"/>
        <w:autoSpaceDE w:val="0"/>
        <w:autoSpaceDN w:val="0"/>
        <w:adjustRightInd w:val="0"/>
      </w:pPr>
      <w:r>
        <w:t xml:space="preserve">An important consequence of not complying with the requirement of stating the Use Tax separately from the selling price of the property in a manner authorized by this Regulation is the retailer's loss of the benefit of the deduction for a tax-collected item on his tax return form. </w:t>
      </w:r>
    </w:p>
    <w:p w:rsidR="00B606AB" w:rsidRDefault="00B606AB" w:rsidP="00B606AB">
      <w:pPr>
        <w:widowControl w:val="0"/>
        <w:autoSpaceDE w:val="0"/>
        <w:autoSpaceDN w:val="0"/>
        <w:adjustRightInd w:val="0"/>
      </w:pPr>
    </w:p>
    <w:p w:rsidR="00B606AB" w:rsidRDefault="00B606AB" w:rsidP="00B606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August 21, 1974) </w:t>
      </w:r>
    </w:p>
    <w:sectPr w:rsidR="00B606AB" w:rsidSect="00B60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6AB"/>
    <w:rsid w:val="000E2130"/>
    <w:rsid w:val="005C3366"/>
    <w:rsid w:val="00A10638"/>
    <w:rsid w:val="00B606AB"/>
    <w:rsid w:val="00D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