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989" w:rsidRDefault="00DB4989" w:rsidP="00DB49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4989" w:rsidRDefault="00DB4989" w:rsidP="00DB49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150.125  Relation of Use Tax to Retailers' Occupation Tax</w:t>
      </w:r>
      <w:r>
        <w:t xml:space="preserve"> </w:t>
      </w:r>
    </w:p>
    <w:p w:rsidR="00DB4989" w:rsidRDefault="00DB4989" w:rsidP="00DB4989">
      <w:pPr>
        <w:widowControl w:val="0"/>
        <w:autoSpaceDE w:val="0"/>
        <w:autoSpaceDN w:val="0"/>
        <w:adjustRightInd w:val="0"/>
      </w:pPr>
    </w:p>
    <w:p w:rsidR="00DB4989" w:rsidRDefault="00DB4989" w:rsidP="00DB4989">
      <w:pPr>
        <w:widowControl w:val="0"/>
        <w:autoSpaceDE w:val="0"/>
        <w:autoSpaceDN w:val="0"/>
        <w:adjustRightInd w:val="0"/>
      </w:pPr>
      <w:r>
        <w:t xml:space="preserve">The Use Tax Act complements the Retailers' Occupation Tax Act.  That is why the Use Tax is restricted to cases in which the property is purchased at retail from a retailer. </w:t>
      </w:r>
    </w:p>
    <w:p w:rsidR="00DB4989" w:rsidRDefault="00DB4989" w:rsidP="00DB4989">
      <w:pPr>
        <w:widowControl w:val="0"/>
        <w:autoSpaceDE w:val="0"/>
        <w:autoSpaceDN w:val="0"/>
        <w:adjustRightInd w:val="0"/>
      </w:pPr>
    </w:p>
    <w:p w:rsidR="00DB4989" w:rsidRDefault="00DB4989" w:rsidP="00DB498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and effective September 9, 1969) </w:t>
      </w:r>
    </w:p>
    <w:sectPr w:rsidR="00DB4989" w:rsidSect="00DB49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4989"/>
    <w:rsid w:val="003321DC"/>
    <w:rsid w:val="003C55C2"/>
    <w:rsid w:val="005C3366"/>
    <w:rsid w:val="007444C9"/>
    <w:rsid w:val="00DB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