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5A" w:rsidRPr="008459E2" w:rsidRDefault="00242F5A" w:rsidP="00BA361C">
      <w:bookmarkStart w:id="0" w:name="_GoBack"/>
      <w:bookmarkEnd w:id="0"/>
    </w:p>
    <w:p w:rsidR="00242F5A" w:rsidRPr="00BA361C" w:rsidRDefault="00242F5A" w:rsidP="00BA361C">
      <w:pPr>
        <w:rPr>
          <w:b/>
          <w:snapToGrid w:val="0"/>
        </w:rPr>
      </w:pPr>
      <w:r w:rsidRPr="00BA361C">
        <w:rPr>
          <w:b/>
          <w:snapToGrid w:val="0"/>
        </w:rPr>
        <w:t>Section 130.2140</w:t>
      </w:r>
      <w:r w:rsidR="00BA361C">
        <w:rPr>
          <w:b/>
          <w:snapToGrid w:val="0"/>
        </w:rPr>
        <w:t xml:space="preserve">  </w:t>
      </w:r>
      <w:r w:rsidRPr="00BA361C">
        <w:rPr>
          <w:b/>
          <w:snapToGrid w:val="0"/>
        </w:rPr>
        <w:t>Vendors of Curtains, Slip Covers and Other Similar Items Made to Order</w:t>
      </w:r>
    </w:p>
    <w:p w:rsidR="00242F5A" w:rsidRPr="00BA361C" w:rsidRDefault="00242F5A" w:rsidP="00BA361C">
      <w:pPr>
        <w:rPr>
          <w:b/>
          <w:snapToGrid w:val="0"/>
        </w:rPr>
      </w:pPr>
    </w:p>
    <w:p w:rsidR="00242F5A" w:rsidRPr="008459E2" w:rsidRDefault="00242F5A" w:rsidP="00BA361C">
      <w:pPr>
        <w:ind w:firstLine="720"/>
        <w:rPr>
          <w:snapToGrid w:val="0"/>
        </w:rPr>
      </w:pPr>
      <w:r w:rsidRPr="008459E2">
        <w:rPr>
          <w:snapToGrid w:val="0"/>
        </w:rPr>
        <w:t>a)</w:t>
      </w:r>
      <w:r w:rsidRPr="008459E2">
        <w:rPr>
          <w:snapToGrid w:val="0"/>
        </w:rPr>
        <w:tab/>
        <w:t>When Liable For Tax</w:t>
      </w:r>
    </w:p>
    <w:p w:rsidR="00EF0647" w:rsidRDefault="00EF0647" w:rsidP="00BA361C">
      <w:pPr>
        <w:ind w:left="2160" w:hanging="720"/>
      </w:pPr>
    </w:p>
    <w:p w:rsidR="00242F5A" w:rsidRPr="008459E2" w:rsidRDefault="00242F5A" w:rsidP="00BA361C">
      <w:pPr>
        <w:ind w:left="2160" w:hanging="720"/>
      </w:pPr>
      <w:r w:rsidRPr="008459E2">
        <w:t>1)</w:t>
      </w:r>
      <w:r w:rsidRPr="008459E2">
        <w:tab/>
        <w:t xml:space="preserve">Persons who engage in the business of selling portieres, drapes, curtains, marquee curtains, slip covers, tents, tarpaulins and other similar items incur Retailers' Occupation Tax liability when selling </w:t>
      </w:r>
      <w:r w:rsidR="004851FC">
        <w:t xml:space="preserve">the </w:t>
      </w:r>
      <w:r w:rsidRPr="008459E2">
        <w:t xml:space="preserve">items (with or without installation by the seller) to purchasers for use or consumption and not for resale whether </w:t>
      </w:r>
      <w:r w:rsidR="004851FC">
        <w:t>the</w:t>
      </w:r>
      <w:r w:rsidRPr="008459E2">
        <w:t xml:space="preserve"> items are sold as stock or standard items</w:t>
      </w:r>
      <w:r w:rsidR="004851FC">
        <w:t xml:space="preserve"> or whether the seller produces the</w:t>
      </w:r>
      <w:r w:rsidRPr="008459E2">
        <w:t xml:space="preserve"> items on special order for the purchaser.</w:t>
      </w:r>
    </w:p>
    <w:p w:rsidR="00EF0647" w:rsidRDefault="00EF0647" w:rsidP="00BA361C">
      <w:pPr>
        <w:ind w:left="2160" w:hanging="720"/>
        <w:rPr>
          <w:snapToGrid w:val="0"/>
        </w:rPr>
      </w:pPr>
    </w:p>
    <w:p w:rsidR="00242F5A" w:rsidRPr="008459E2" w:rsidRDefault="00BA361C" w:rsidP="00BA361C">
      <w:pPr>
        <w:ind w:left="2160" w:hanging="720"/>
        <w:rPr>
          <w:snapToGrid w:val="0"/>
        </w:rPr>
      </w:pPr>
      <w:r>
        <w:rPr>
          <w:snapToGrid w:val="0"/>
        </w:rPr>
        <w:t>2)</w:t>
      </w:r>
      <w:r>
        <w:rPr>
          <w:snapToGrid w:val="0"/>
        </w:rPr>
        <w:tab/>
      </w:r>
      <w:r w:rsidR="00242F5A" w:rsidRPr="008459E2">
        <w:rPr>
          <w:snapToGrid w:val="0"/>
        </w:rPr>
        <w:t xml:space="preserve">The same is true when custom-made Venetian blinds, window shades, awnings, screen doors, window screens, storm doors and storm windows are sold at retail "over-the-counter" without installation by the seller as a construction contractor under Section 130.1940(c) of this Part.  This is true because </w:t>
      </w:r>
      <w:r w:rsidR="004851FC">
        <w:rPr>
          <w:snapToGrid w:val="0"/>
        </w:rPr>
        <w:t>the</w:t>
      </w:r>
      <w:r w:rsidR="00242F5A" w:rsidRPr="008459E2">
        <w:rPr>
          <w:snapToGrid w:val="0"/>
        </w:rPr>
        <w:t xml:space="preserve"> items, when produced on special order, serve substantially the same function as stock or standard items </w:t>
      </w:r>
      <w:r w:rsidR="004851FC">
        <w:rPr>
          <w:snapToGrid w:val="0"/>
        </w:rPr>
        <w:t>of tangible personal property that</w:t>
      </w:r>
      <w:r w:rsidR="00242F5A" w:rsidRPr="008459E2">
        <w:rPr>
          <w:snapToGrid w:val="0"/>
        </w:rPr>
        <w:t xml:space="preserve"> is sold at retail.</w:t>
      </w:r>
    </w:p>
    <w:p w:rsidR="00EF0647" w:rsidRDefault="00EF0647" w:rsidP="00BA361C">
      <w:pPr>
        <w:ind w:left="2160" w:hanging="720"/>
      </w:pPr>
    </w:p>
    <w:p w:rsidR="00242F5A" w:rsidRPr="008459E2" w:rsidRDefault="00242F5A" w:rsidP="00BA361C">
      <w:pPr>
        <w:ind w:left="2160" w:hanging="720"/>
      </w:pPr>
      <w:r w:rsidRPr="008459E2">
        <w:t>3)</w:t>
      </w:r>
      <w:r w:rsidRPr="008459E2">
        <w:tab/>
        <w:t>When sellers permanently affix tangible personal property to real estate, they act as construction contractors and incur Use Tax rather than Retailers’ Occupation Tax.  (For further information regarding the sales tax liabilities of construction contractors, see the Department’s regulations on Construction Contractors and Real Estate Developers at 86 Ill. Adm. Code 130.1940 and Sales to Construction Contractors, Real Estate Developers and Speculative Builders at 86 Ill. Adm. Code 130.2075.)</w:t>
      </w:r>
    </w:p>
    <w:p w:rsidR="00EF0647" w:rsidRDefault="00EF0647" w:rsidP="00BA361C">
      <w:pPr>
        <w:ind w:firstLine="720"/>
        <w:rPr>
          <w:snapToGrid w:val="0"/>
        </w:rPr>
      </w:pPr>
    </w:p>
    <w:p w:rsidR="00242F5A" w:rsidRPr="008459E2" w:rsidRDefault="00242F5A" w:rsidP="00BA361C">
      <w:pPr>
        <w:ind w:firstLine="720"/>
        <w:rPr>
          <w:snapToGrid w:val="0"/>
        </w:rPr>
      </w:pPr>
      <w:r w:rsidRPr="008459E2">
        <w:rPr>
          <w:snapToGrid w:val="0"/>
        </w:rPr>
        <w:t>b)</w:t>
      </w:r>
      <w:r w:rsidRPr="008459E2">
        <w:rPr>
          <w:snapToGrid w:val="0"/>
        </w:rPr>
        <w:tab/>
        <w:t>Labor Charges</w:t>
      </w:r>
    </w:p>
    <w:p w:rsidR="00EF0647" w:rsidRDefault="00EF0647" w:rsidP="00BA361C">
      <w:pPr>
        <w:ind w:left="2160" w:hanging="720"/>
      </w:pPr>
    </w:p>
    <w:p w:rsidR="00242F5A" w:rsidRPr="008459E2" w:rsidRDefault="00242F5A" w:rsidP="00BA361C">
      <w:pPr>
        <w:ind w:left="2160" w:hanging="720"/>
      </w:pPr>
      <w:r w:rsidRPr="008459E2">
        <w:t>1)</w:t>
      </w:r>
      <w:r w:rsidRPr="008459E2">
        <w:tab/>
        <w:t xml:space="preserve">In computing Retailers' Occupation Tax liability on the retail sale of custom-made items, no deduction may be taken for the cost of labor involved in producing the finished item for sale.  This is true whether </w:t>
      </w:r>
      <w:r w:rsidR="00005ED7">
        <w:t>the</w:t>
      </w:r>
      <w:r w:rsidRPr="008459E2">
        <w:t xml:space="preserve"> production labor is included in a lump sum price with the tangible personal property or whether </w:t>
      </w:r>
      <w:r w:rsidR="00005ED7">
        <w:t>the</w:t>
      </w:r>
      <w:r w:rsidRPr="008459E2">
        <w:t xml:space="preserve"> production labor is priced separately from the tangible personal property.  The thing that is being sold is the finished item (</w:t>
      </w:r>
      <w:r w:rsidR="004851FC">
        <w:t xml:space="preserve">e.g., </w:t>
      </w:r>
      <w:r w:rsidRPr="008459E2">
        <w:t xml:space="preserve">drapes), and the cost of labor involved in making </w:t>
      </w:r>
      <w:r w:rsidR="00005ED7">
        <w:t>the</w:t>
      </w:r>
      <w:r w:rsidRPr="008459E2">
        <w:t xml:space="preserve"> item is no more deductible than is the cost of labor that is involved in producing a stock or standard item for sale.</w:t>
      </w:r>
    </w:p>
    <w:p w:rsidR="00EF0647" w:rsidRDefault="00EF0647" w:rsidP="00BA361C">
      <w:pPr>
        <w:ind w:left="2160" w:hanging="720"/>
        <w:rPr>
          <w:snapToGrid w:val="0"/>
        </w:rPr>
      </w:pPr>
    </w:p>
    <w:p w:rsidR="00242F5A" w:rsidRPr="008459E2" w:rsidRDefault="00242F5A" w:rsidP="00BA361C">
      <w:pPr>
        <w:ind w:left="2160" w:hanging="720"/>
        <w:rPr>
          <w:snapToGrid w:val="0"/>
        </w:rPr>
      </w:pPr>
      <w:r w:rsidRPr="008459E2">
        <w:rPr>
          <w:snapToGrid w:val="0"/>
        </w:rPr>
        <w:t>2)</w:t>
      </w:r>
      <w:r w:rsidRPr="008459E2">
        <w:rPr>
          <w:snapToGrid w:val="0"/>
        </w:rPr>
        <w:tab/>
        <w:t xml:space="preserve">However, receipts from installation charges are deductible from total receipts in computing Retailers' Occupation Tax liability if </w:t>
      </w:r>
      <w:r w:rsidR="00005ED7">
        <w:rPr>
          <w:snapToGrid w:val="0"/>
        </w:rPr>
        <w:t>the</w:t>
      </w:r>
      <w:r w:rsidRPr="008459E2">
        <w:rPr>
          <w:snapToGrid w:val="0"/>
        </w:rPr>
        <w:t xml:space="preserve"> charges are contracted for by the seller and the purchaser separately from the selling price of the finished tangible personal property, but even receipts from installation charges are taxable if the installation charge is included in a </w:t>
      </w:r>
      <w:r w:rsidRPr="008459E2">
        <w:rPr>
          <w:snapToGrid w:val="0"/>
        </w:rPr>
        <w:lastRenderedPageBreak/>
        <w:t>lump sum price with the tangible personal property (see Section 130.450 of this Part).</w:t>
      </w:r>
    </w:p>
    <w:p w:rsidR="00BA361C" w:rsidRDefault="00BA361C">
      <w:pPr>
        <w:pStyle w:val="JCARSourceNote"/>
        <w:ind w:firstLine="720"/>
      </w:pPr>
    </w:p>
    <w:p w:rsidR="00BA361C" w:rsidRPr="00D55B37" w:rsidRDefault="00BA361C">
      <w:pPr>
        <w:pStyle w:val="JCARSourceNote"/>
        <w:ind w:firstLine="720"/>
      </w:pPr>
      <w:r w:rsidRPr="00D55B37">
        <w:t xml:space="preserve">(Source:  </w:t>
      </w:r>
      <w:r>
        <w:t>Amended</w:t>
      </w:r>
      <w:r w:rsidRPr="00D55B37">
        <w:t xml:space="preserve"> at 2</w:t>
      </w:r>
      <w:r>
        <w:t xml:space="preserve">7 </w:t>
      </w:r>
      <w:r w:rsidRPr="00D55B37">
        <w:t xml:space="preserve">Ill. Reg. </w:t>
      </w:r>
      <w:r w:rsidR="00C45C81">
        <w:t>17216</w:t>
      </w:r>
      <w:r w:rsidRPr="00D55B37">
        <w:t xml:space="preserve">, effective </w:t>
      </w:r>
      <w:r w:rsidR="00C45C81">
        <w:t>November 3, 2003</w:t>
      </w:r>
      <w:r w:rsidRPr="00D55B37">
        <w:t>)</w:t>
      </w:r>
    </w:p>
    <w:sectPr w:rsidR="00BA361C" w:rsidRPr="00D55B37" w:rsidSect="00A04D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B4402"/>
    <w:multiLevelType w:val="singleLevel"/>
    <w:tmpl w:val="6820359C"/>
    <w:lvl w:ilvl="0">
      <w:start w:val="2"/>
      <w:numFmt w:val="decimal"/>
      <w:lvlText w:val="%1)"/>
      <w:lvlJc w:val="left"/>
      <w:pPr>
        <w:tabs>
          <w:tab w:val="num" w:pos="2010"/>
        </w:tabs>
        <w:ind w:left="201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DB6"/>
    <w:rsid w:val="00005ED7"/>
    <w:rsid w:val="00242F5A"/>
    <w:rsid w:val="003A1810"/>
    <w:rsid w:val="003F6D36"/>
    <w:rsid w:val="004167EA"/>
    <w:rsid w:val="004851FC"/>
    <w:rsid w:val="005C3366"/>
    <w:rsid w:val="00677CBB"/>
    <w:rsid w:val="0080173A"/>
    <w:rsid w:val="008F76B8"/>
    <w:rsid w:val="00A04DB6"/>
    <w:rsid w:val="00BA361C"/>
    <w:rsid w:val="00BB20EA"/>
    <w:rsid w:val="00C45C81"/>
    <w:rsid w:val="00C948C9"/>
    <w:rsid w:val="00CE24A0"/>
    <w:rsid w:val="00D13B28"/>
    <w:rsid w:val="00EF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5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242F5A"/>
    <w:pPr>
      <w:ind w:left="1440" w:hanging="720"/>
    </w:pPr>
    <w:rPr>
      <w:rFonts w:ascii="Arial" w:hAnsi="Arial"/>
      <w:szCs w:val="20"/>
    </w:rPr>
  </w:style>
  <w:style w:type="paragraph" w:styleId="BodyTextIndent">
    <w:name w:val="Body Text Indent"/>
    <w:basedOn w:val="Normal"/>
    <w:rsid w:val="00242F5A"/>
    <w:pPr>
      <w:spacing w:after="120"/>
      <w:ind w:left="360"/>
    </w:pPr>
  </w:style>
  <w:style w:type="paragraph" w:styleId="BodyText">
    <w:name w:val="Body Text"/>
    <w:basedOn w:val="Normal"/>
    <w:rsid w:val="00242F5A"/>
    <w:pPr>
      <w:spacing w:after="120"/>
    </w:pPr>
  </w:style>
  <w:style w:type="paragraph" w:customStyle="1" w:styleId="JCARSourceNote">
    <w:name w:val="JCAR Source Note"/>
    <w:basedOn w:val="Normal"/>
    <w:rsid w:val="00BA3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5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242F5A"/>
    <w:pPr>
      <w:ind w:left="1440" w:hanging="720"/>
    </w:pPr>
    <w:rPr>
      <w:rFonts w:ascii="Arial" w:hAnsi="Arial"/>
      <w:szCs w:val="20"/>
    </w:rPr>
  </w:style>
  <w:style w:type="paragraph" w:styleId="BodyTextIndent">
    <w:name w:val="Body Text Indent"/>
    <w:basedOn w:val="Normal"/>
    <w:rsid w:val="00242F5A"/>
    <w:pPr>
      <w:spacing w:after="120"/>
      <w:ind w:left="360"/>
    </w:pPr>
  </w:style>
  <w:style w:type="paragraph" w:styleId="BodyText">
    <w:name w:val="Body Text"/>
    <w:basedOn w:val="Normal"/>
    <w:rsid w:val="00242F5A"/>
    <w:pPr>
      <w:spacing w:after="120"/>
    </w:pPr>
  </w:style>
  <w:style w:type="paragraph" w:customStyle="1" w:styleId="JCARSourceNote">
    <w:name w:val="JCAR Source Note"/>
    <w:basedOn w:val="Normal"/>
    <w:rsid w:val="00BA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