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9BBA" w14:textId="77777777" w:rsidR="009644C3" w:rsidRDefault="009644C3" w:rsidP="009644C3">
      <w:pPr>
        <w:widowControl w:val="0"/>
        <w:autoSpaceDE w:val="0"/>
        <w:autoSpaceDN w:val="0"/>
        <w:adjustRightInd w:val="0"/>
      </w:pPr>
    </w:p>
    <w:p w14:paraId="493328DA" w14:textId="77777777" w:rsidR="009644C3" w:rsidRDefault="009644C3" w:rsidP="009644C3">
      <w:pPr>
        <w:widowControl w:val="0"/>
        <w:autoSpaceDE w:val="0"/>
        <w:autoSpaceDN w:val="0"/>
        <w:adjustRightInd w:val="0"/>
      </w:pPr>
      <w:r>
        <w:rPr>
          <w:b/>
          <w:bCs/>
        </w:rPr>
        <w:t xml:space="preserve">Section </w:t>
      </w:r>
      <w:proofErr w:type="gramStart"/>
      <w:r>
        <w:rPr>
          <w:b/>
          <w:bCs/>
        </w:rPr>
        <w:t>130.2085  Sales</w:t>
      </w:r>
      <w:proofErr w:type="gramEnd"/>
      <w:r>
        <w:rPr>
          <w:b/>
          <w:bCs/>
        </w:rPr>
        <w:t xml:space="preserve"> to or by Banks, Savings and Loan Associations and Credit Unions</w:t>
      </w:r>
      <w:r>
        <w:t xml:space="preserve"> </w:t>
      </w:r>
    </w:p>
    <w:p w14:paraId="4AB31DD1" w14:textId="77777777" w:rsidR="009644C3" w:rsidRDefault="009644C3" w:rsidP="009644C3">
      <w:pPr>
        <w:widowControl w:val="0"/>
        <w:autoSpaceDE w:val="0"/>
        <w:autoSpaceDN w:val="0"/>
        <w:adjustRightInd w:val="0"/>
      </w:pPr>
    </w:p>
    <w:p w14:paraId="548BC6F9" w14:textId="77777777" w:rsidR="009644C3" w:rsidRDefault="009644C3" w:rsidP="009644C3">
      <w:pPr>
        <w:widowControl w:val="0"/>
        <w:autoSpaceDE w:val="0"/>
        <w:autoSpaceDN w:val="0"/>
        <w:adjustRightInd w:val="0"/>
        <w:ind w:left="1440" w:hanging="720"/>
      </w:pPr>
      <w:r>
        <w:t>a)</w:t>
      </w:r>
      <w:r>
        <w:tab/>
        <w:t xml:space="preserve">Sales to Banks, Etc. </w:t>
      </w:r>
    </w:p>
    <w:p w14:paraId="2DF39693" w14:textId="77777777" w:rsidR="009F2F86" w:rsidRDefault="009F2F86" w:rsidP="00101917">
      <w:pPr>
        <w:widowControl w:val="0"/>
        <w:autoSpaceDE w:val="0"/>
        <w:autoSpaceDN w:val="0"/>
        <w:adjustRightInd w:val="0"/>
      </w:pPr>
    </w:p>
    <w:p w14:paraId="1AECE5B8" w14:textId="52D941A1" w:rsidR="009F2F86" w:rsidRDefault="009F2F86" w:rsidP="009F2F86">
      <w:pPr>
        <w:widowControl w:val="0"/>
        <w:autoSpaceDE w:val="0"/>
        <w:autoSpaceDN w:val="0"/>
        <w:adjustRightInd w:val="0"/>
        <w:ind w:left="2160" w:hanging="720"/>
      </w:pPr>
      <w:r>
        <w:t>1)</w:t>
      </w:r>
      <w:r>
        <w:tab/>
      </w:r>
      <w:r w:rsidR="009644C3">
        <w:t>Retail sales to national banks, State-chartered banks, Federally-chartered savings and loan associations</w:t>
      </w:r>
      <w:r w:rsidR="00057519">
        <w:t>,</w:t>
      </w:r>
      <w:r w:rsidR="009644C3">
        <w:t xml:space="preserve"> and other privately-owned financial institutions are subject to the Retailers' Occupation Tax.  This conclusion also applies to sales of building materials and fixtures to construction contractors for incorporation into real estate owned by banks and savings and loan associations even if such real estate is used for bank or savings and loan association purposes. For the foregoing purposes, the date of sale is considered to be the date of delivery to the purchaser.  </w:t>
      </w:r>
      <w:r w:rsidRPr="009F2F86">
        <w:t>Beginning January 4, 2019, sales of tangible personal property are exempt from the Retailers</w:t>
      </w:r>
      <w:r w:rsidR="00203AB6">
        <w:t>'</w:t>
      </w:r>
      <w:r w:rsidRPr="009F2F86">
        <w:t xml:space="preserve"> Occupation Tax if the purchaser is exempt from use tax by operation of federal law.  [35 </w:t>
      </w:r>
      <w:proofErr w:type="spellStart"/>
      <w:r w:rsidRPr="009F2F86">
        <w:t>ILCS</w:t>
      </w:r>
      <w:proofErr w:type="spellEnd"/>
      <w:r w:rsidRPr="009F2F86">
        <w:t xml:space="preserve"> 120/2-5(16)]</w:t>
      </w:r>
    </w:p>
    <w:p w14:paraId="5B42C784" w14:textId="77777777" w:rsidR="009F2F86" w:rsidRDefault="009F2F86" w:rsidP="00101917">
      <w:pPr>
        <w:widowControl w:val="0"/>
        <w:autoSpaceDE w:val="0"/>
        <w:autoSpaceDN w:val="0"/>
        <w:adjustRightInd w:val="0"/>
      </w:pPr>
    </w:p>
    <w:p w14:paraId="115D1574" w14:textId="2AAFCA93" w:rsidR="009644C3" w:rsidRDefault="009F2F86" w:rsidP="009F2F86">
      <w:pPr>
        <w:widowControl w:val="0"/>
        <w:autoSpaceDE w:val="0"/>
        <w:autoSpaceDN w:val="0"/>
        <w:adjustRightInd w:val="0"/>
        <w:ind w:left="2160" w:hanging="720"/>
      </w:pPr>
      <w:r>
        <w:t>2)</w:t>
      </w:r>
      <w:r>
        <w:tab/>
      </w:r>
      <w:r w:rsidR="009644C3">
        <w:t xml:space="preserve">Federally-chartered credit unions, the Federal National Mortgage Association (Fannie Mae), Farm Credit Banks, and Federal Home Loan Banks do not incur Use Tax liability when making purchases of tangible personal property for use or consumption. (See respectively 12 </w:t>
      </w:r>
      <w:r w:rsidR="00203AB6">
        <w:t>U.S.C.</w:t>
      </w:r>
      <w:r w:rsidR="009644C3">
        <w:t xml:space="preserve"> 1768, 12 </w:t>
      </w:r>
      <w:r w:rsidR="00203AB6">
        <w:t>U.S.C.</w:t>
      </w:r>
      <w:r w:rsidR="009644C3">
        <w:t xml:space="preserve"> 1723(a)(C)(2), 12 </w:t>
      </w:r>
      <w:r w:rsidR="00203AB6">
        <w:t>U.S.C.</w:t>
      </w:r>
      <w:r w:rsidR="009644C3">
        <w:t xml:space="preserve"> 2023 and 12 </w:t>
      </w:r>
      <w:r w:rsidR="00203AB6">
        <w:t>U.S.C.</w:t>
      </w:r>
      <w:r w:rsidR="009644C3">
        <w:t xml:space="preserve"> 1433.) Retailers making sales of tangible personal property to Federal credit unions, the Federal National Mortgage Association (Fannie Mae), Farm Credit Banks, and Federal Home Loan Banks are not able to reimburse themselves for the </w:t>
      </w:r>
      <w:r w:rsidRPr="009F2F86">
        <w:t>retailers</w:t>
      </w:r>
      <w:r w:rsidR="00203AB6">
        <w:t>'</w:t>
      </w:r>
      <w:r w:rsidRPr="009F2F86">
        <w:t xml:space="preserve"> occupation tax</w:t>
      </w:r>
      <w:r w:rsidR="009644C3">
        <w:t xml:space="preserve"> they incur as a result of making such sales by collecting the reimbursing </w:t>
      </w:r>
      <w:r>
        <w:t>use tax</w:t>
      </w:r>
      <w:r w:rsidR="009644C3">
        <w:t xml:space="preserve">.  Nonetheless, retailers making sales of tangible personal property to Federal credit unions, the Federal National Mortgage Association (Fannie Mae), Farm Credit Banks, and Federal Home Loan Banks do incur </w:t>
      </w:r>
      <w:r w:rsidRPr="009F2F86">
        <w:t>retailers</w:t>
      </w:r>
      <w:r w:rsidR="00203AB6">
        <w:t>'</w:t>
      </w:r>
      <w:r w:rsidRPr="009F2F86">
        <w:t xml:space="preserve"> occupation tax</w:t>
      </w:r>
      <w:r w:rsidR="009644C3">
        <w:t xml:space="preserve"> liability on their gross receipts from such sales.</w:t>
      </w:r>
      <w:r>
        <w:t xml:space="preserve">  </w:t>
      </w:r>
      <w:r w:rsidRPr="009F2F86">
        <w:t xml:space="preserve">Beginning January 4, 2019, purchases of tangible personal property are exempt from the Use Tax if the purchaser is exempt by operation of federal law.  [35 </w:t>
      </w:r>
      <w:proofErr w:type="spellStart"/>
      <w:r w:rsidRPr="009F2F86">
        <w:t>ILCS</w:t>
      </w:r>
      <w:proofErr w:type="spellEnd"/>
      <w:r w:rsidRPr="009F2F86">
        <w:t xml:space="preserve"> 120/2-5(16)]</w:t>
      </w:r>
      <w:r w:rsidR="009644C3">
        <w:t xml:space="preserve"> </w:t>
      </w:r>
    </w:p>
    <w:p w14:paraId="3B0CB232" w14:textId="77777777" w:rsidR="00F877D2" w:rsidRDefault="00F877D2" w:rsidP="00101917">
      <w:pPr>
        <w:widowControl w:val="0"/>
        <w:autoSpaceDE w:val="0"/>
        <w:autoSpaceDN w:val="0"/>
        <w:adjustRightInd w:val="0"/>
      </w:pPr>
    </w:p>
    <w:p w14:paraId="711D04B3" w14:textId="77777777" w:rsidR="009644C3" w:rsidRDefault="009644C3" w:rsidP="009644C3">
      <w:pPr>
        <w:widowControl w:val="0"/>
        <w:autoSpaceDE w:val="0"/>
        <w:autoSpaceDN w:val="0"/>
        <w:adjustRightInd w:val="0"/>
        <w:ind w:left="1440" w:hanging="720"/>
      </w:pPr>
      <w:r>
        <w:t>b)</w:t>
      </w:r>
      <w:r>
        <w:tab/>
        <w:t xml:space="preserve">Sales by Banks, Etc. </w:t>
      </w:r>
    </w:p>
    <w:p w14:paraId="014A2D62" w14:textId="24A32678" w:rsidR="009644C3" w:rsidRDefault="009644C3" w:rsidP="009F2F86">
      <w:pPr>
        <w:widowControl w:val="0"/>
        <w:autoSpaceDE w:val="0"/>
        <w:autoSpaceDN w:val="0"/>
        <w:adjustRightInd w:val="0"/>
        <w:ind w:left="1440"/>
      </w:pPr>
      <w:r>
        <w:t xml:space="preserve">State-chartered banks and both Federally- and State-chartered savings and loan associations, which engage in selling tangible personal property at retail, are liable for </w:t>
      </w:r>
      <w:r w:rsidR="009F2F86" w:rsidRPr="009F2F86">
        <w:t>retailers</w:t>
      </w:r>
      <w:r w:rsidR="00203AB6">
        <w:t>'</w:t>
      </w:r>
      <w:r w:rsidR="009F2F86" w:rsidRPr="009F2F86">
        <w:t xml:space="preserve"> occupation tax</w:t>
      </w:r>
      <w:r>
        <w:t xml:space="preserve"> on their receipts from such sales commencing March 17, 1965.  Effective February 1, 1970, national banks that engage in selling tangible personal property at retail also are liable for </w:t>
      </w:r>
      <w:r w:rsidR="009F2F86" w:rsidRPr="009F2F86">
        <w:t>retailers</w:t>
      </w:r>
      <w:r w:rsidR="00203AB6">
        <w:t>'</w:t>
      </w:r>
      <w:r w:rsidR="009F2F86" w:rsidRPr="009F2F86">
        <w:t xml:space="preserve"> occupation tax</w:t>
      </w:r>
      <w:r>
        <w:t xml:space="preserve"> on their receipts from such sales. </w:t>
      </w:r>
    </w:p>
    <w:p w14:paraId="15BBC0E0" w14:textId="77777777" w:rsidR="009644C3" w:rsidRDefault="009644C3" w:rsidP="00101917">
      <w:pPr>
        <w:widowControl w:val="0"/>
        <w:autoSpaceDE w:val="0"/>
        <w:autoSpaceDN w:val="0"/>
        <w:adjustRightInd w:val="0"/>
      </w:pPr>
    </w:p>
    <w:p w14:paraId="5EE314A9" w14:textId="576CED82" w:rsidR="009644C3" w:rsidRDefault="009F2F86" w:rsidP="009644C3">
      <w:pPr>
        <w:widowControl w:val="0"/>
        <w:autoSpaceDE w:val="0"/>
        <w:autoSpaceDN w:val="0"/>
        <w:adjustRightInd w:val="0"/>
        <w:ind w:left="1440" w:hanging="720"/>
      </w:pPr>
      <w:r w:rsidRPr="00FD1AD2">
        <w:t>(Source:  Amended at 4</w:t>
      </w:r>
      <w:r>
        <w:t>7</w:t>
      </w:r>
      <w:r w:rsidRPr="00FD1AD2">
        <w:t xml:space="preserve"> Ill. Reg. </w:t>
      </w:r>
      <w:r w:rsidR="00E30146">
        <w:t>19349</w:t>
      </w:r>
      <w:r w:rsidRPr="00FD1AD2">
        <w:t xml:space="preserve">, effective </w:t>
      </w:r>
      <w:r w:rsidR="00E30146">
        <w:t>December 12, 2023</w:t>
      </w:r>
      <w:r w:rsidRPr="00FD1AD2">
        <w:t>)</w:t>
      </w:r>
    </w:p>
    <w:sectPr w:rsidR="009644C3" w:rsidSect="009644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44C3"/>
    <w:rsid w:val="00057519"/>
    <w:rsid w:val="000E4864"/>
    <w:rsid w:val="00101917"/>
    <w:rsid w:val="001F0413"/>
    <w:rsid w:val="00203AB6"/>
    <w:rsid w:val="005C3366"/>
    <w:rsid w:val="006B73E7"/>
    <w:rsid w:val="00960FE1"/>
    <w:rsid w:val="009644C3"/>
    <w:rsid w:val="009F2F86"/>
    <w:rsid w:val="00A172BE"/>
    <w:rsid w:val="00E30146"/>
    <w:rsid w:val="00EF3A59"/>
    <w:rsid w:val="00F8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10D128"/>
  <w15:docId w15:val="{B626AEC7-EFC9-4133-BE9C-02F082ED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2023-12-04T18:15:00Z</dcterms:created>
  <dcterms:modified xsi:type="dcterms:W3CDTF">2023-12-28T16:48:00Z</dcterms:modified>
</cp:coreProperties>
</file>