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652B" w:rsidRPr="00D2652B" w:rsidRDefault="00D2652B" w:rsidP="00D2652B">
      <w:pPr>
        <w:rPr>
          <w:sz w:val="24"/>
          <w:szCs w:val="24"/>
        </w:rPr>
      </w:pPr>
    </w:p>
    <w:p w:rsidR="00D2652B" w:rsidRPr="00D2652B" w:rsidRDefault="00D2652B" w:rsidP="00D2652B">
      <w:pPr>
        <w:rPr>
          <w:b/>
          <w:sz w:val="24"/>
          <w:szCs w:val="24"/>
        </w:rPr>
      </w:pPr>
      <w:r w:rsidRPr="00D2652B">
        <w:rPr>
          <w:b/>
          <w:sz w:val="24"/>
          <w:szCs w:val="24"/>
        </w:rPr>
        <w:t>Section 130.1956  Dentists</w:t>
      </w:r>
    </w:p>
    <w:p w:rsidR="00D2652B" w:rsidRPr="00D2652B" w:rsidRDefault="00D2652B" w:rsidP="00D2652B">
      <w:pPr>
        <w:rPr>
          <w:b/>
          <w:sz w:val="24"/>
          <w:szCs w:val="24"/>
        </w:rPr>
      </w:pPr>
    </w:p>
    <w:p w:rsidR="00D2652B" w:rsidRPr="00D2652B" w:rsidRDefault="00D2652B" w:rsidP="00D2652B">
      <w:pPr>
        <w:ind w:firstLine="720"/>
        <w:rPr>
          <w:snapToGrid w:val="0"/>
          <w:sz w:val="24"/>
          <w:szCs w:val="24"/>
        </w:rPr>
      </w:pPr>
      <w:r w:rsidRPr="00D2652B">
        <w:rPr>
          <w:snapToGrid w:val="0"/>
          <w:sz w:val="24"/>
          <w:szCs w:val="24"/>
        </w:rPr>
        <w:t>a)</w:t>
      </w:r>
      <w:r>
        <w:rPr>
          <w:snapToGrid w:val="0"/>
          <w:sz w:val="24"/>
          <w:szCs w:val="24"/>
        </w:rPr>
        <w:tab/>
      </w:r>
      <w:r w:rsidRPr="00D2652B">
        <w:rPr>
          <w:snapToGrid w:val="0"/>
          <w:sz w:val="24"/>
          <w:szCs w:val="24"/>
        </w:rPr>
        <w:t>When Liable For Tax</w:t>
      </w:r>
    </w:p>
    <w:p w:rsidR="00D2652B" w:rsidRPr="00D2652B" w:rsidRDefault="00D2652B" w:rsidP="00D2652B">
      <w:pPr>
        <w:ind w:left="1440"/>
        <w:rPr>
          <w:sz w:val="24"/>
          <w:szCs w:val="24"/>
        </w:rPr>
      </w:pPr>
      <w:r w:rsidRPr="00D2652B">
        <w:rPr>
          <w:sz w:val="24"/>
          <w:szCs w:val="24"/>
        </w:rPr>
        <w:t>When dentists sell items of tangible personal property, such as mouthwash, toothpaste, dental floss, and the like, to purchasers for use or consumption apart from their rendering of service as dentists, they incur Retailers' Occupation Tax liability.</w:t>
      </w:r>
    </w:p>
    <w:p w:rsidR="00D2652B" w:rsidRPr="00D2652B" w:rsidRDefault="00D2652B" w:rsidP="00D2652B">
      <w:pPr>
        <w:rPr>
          <w:snapToGrid w:val="0"/>
          <w:sz w:val="24"/>
          <w:szCs w:val="24"/>
        </w:rPr>
      </w:pPr>
    </w:p>
    <w:p w:rsidR="00D2652B" w:rsidRPr="00D2652B" w:rsidRDefault="00D2652B" w:rsidP="00D2652B">
      <w:pPr>
        <w:ind w:firstLine="720"/>
        <w:rPr>
          <w:snapToGrid w:val="0"/>
          <w:sz w:val="24"/>
          <w:szCs w:val="24"/>
        </w:rPr>
      </w:pPr>
      <w:r w:rsidRPr="00D2652B">
        <w:rPr>
          <w:snapToGrid w:val="0"/>
          <w:sz w:val="24"/>
          <w:szCs w:val="24"/>
        </w:rPr>
        <w:t>b)</w:t>
      </w:r>
      <w:r>
        <w:rPr>
          <w:snapToGrid w:val="0"/>
          <w:sz w:val="24"/>
          <w:szCs w:val="24"/>
        </w:rPr>
        <w:tab/>
      </w:r>
      <w:r w:rsidRPr="00D2652B">
        <w:rPr>
          <w:snapToGrid w:val="0"/>
          <w:sz w:val="24"/>
          <w:szCs w:val="24"/>
        </w:rPr>
        <w:t>When Not Liable For Tax</w:t>
      </w:r>
    </w:p>
    <w:p w:rsidR="00D2652B" w:rsidRPr="00D2652B" w:rsidRDefault="00D2652B" w:rsidP="00D2652B">
      <w:pPr>
        <w:ind w:left="1440"/>
        <w:rPr>
          <w:sz w:val="24"/>
          <w:szCs w:val="24"/>
        </w:rPr>
      </w:pPr>
      <w:r w:rsidRPr="00D2652B">
        <w:rPr>
          <w:sz w:val="24"/>
          <w:szCs w:val="24"/>
        </w:rPr>
        <w:t xml:space="preserve">Dentists are engaged primarily in a profession or service occupation.  To the extent to which they engage in </w:t>
      </w:r>
      <w:r w:rsidR="00C7378A">
        <w:rPr>
          <w:sz w:val="24"/>
          <w:szCs w:val="24"/>
        </w:rPr>
        <w:t>that</w:t>
      </w:r>
      <w:r w:rsidRPr="00D2652B">
        <w:rPr>
          <w:sz w:val="24"/>
          <w:szCs w:val="24"/>
        </w:rPr>
        <w:t xml:space="preserve"> profession or service occupation, they are not engaged in the business of selling tangible personal property to purchasers for use or consumption within the meaning of the Act.  Consequently, they are not required to remit Retailers' Occupation Tax measured by their receipts from engaging in such profession or service occupation, including receipts from both services and tangible personal property.</w:t>
      </w:r>
    </w:p>
    <w:p w:rsidR="00D2652B" w:rsidRPr="00D2652B" w:rsidRDefault="00D2652B" w:rsidP="00D2652B">
      <w:pPr>
        <w:rPr>
          <w:snapToGrid w:val="0"/>
          <w:sz w:val="24"/>
          <w:szCs w:val="24"/>
        </w:rPr>
      </w:pPr>
    </w:p>
    <w:p w:rsidR="00D2652B" w:rsidRPr="00D2652B" w:rsidRDefault="00D2652B" w:rsidP="00D2652B">
      <w:pPr>
        <w:ind w:firstLine="720"/>
        <w:rPr>
          <w:snapToGrid w:val="0"/>
          <w:sz w:val="24"/>
          <w:szCs w:val="24"/>
        </w:rPr>
      </w:pPr>
      <w:r w:rsidRPr="00D2652B">
        <w:rPr>
          <w:snapToGrid w:val="0"/>
          <w:sz w:val="24"/>
          <w:szCs w:val="24"/>
        </w:rPr>
        <w:t>c)</w:t>
      </w:r>
      <w:r>
        <w:rPr>
          <w:snapToGrid w:val="0"/>
          <w:sz w:val="24"/>
          <w:szCs w:val="24"/>
        </w:rPr>
        <w:tab/>
      </w:r>
      <w:r w:rsidRPr="00D2652B">
        <w:rPr>
          <w:snapToGrid w:val="0"/>
          <w:sz w:val="24"/>
          <w:szCs w:val="24"/>
        </w:rPr>
        <w:t>Liability Under the Service Occupation Tax Act</w:t>
      </w:r>
    </w:p>
    <w:p w:rsidR="00D2652B" w:rsidRPr="00D2652B" w:rsidRDefault="00D2652B" w:rsidP="00D2652B">
      <w:pPr>
        <w:ind w:left="1440"/>
        <w:rPr>
          <w:snapToGrid w:val="0"/>
          <w:sz w:val="24"/>
          <w:szCs w:val="24"/>
        </w:rPr>
      </w:pPr>
      <w:r w:rsidRPr="00D2652B">
        <w:rPr>
          <w:snapToGrid w:val="0"/>
          <w:sz w:val="24"/>
          <w:szCs w:val="24"/>
        </w:rPr>
        <w:t xml:space="preserve">For information concerning the application of the Service Occupation Tax to purchases by dentists of tangible personal property </w:t>
      </w:r>
      <w:r w:rsidR="00C7378A">
        <w:rPr>
          <w:snapToGrid w:val="0"/>
          <w:sz w:val="24"/>
          <w:szCs w:val="24"/>
        </w:rPr>
        <w:t xml:space="preserve">that </w:t>
      </w:r>
      <w:r w:rsidRPr="00D2652B">
        <w:rPr>
          <w:snapToGrid w:val="0"/>
          <w:sz w:val="24"/>
          <w:szCs w:val="24"/>
        </w:rPr>
        <w:t>they retransfer as an incident to rendering service, see the Service Occupation Tax</w:t>
      </w:r>
      <w:r w:rsidR="00C7378A">
        <w:rPr>
          <w:snapToGrid w:val="0"/>
          <w:sz w:val="24"/>
          <w:szCs w:val="24"/>
        </w:rPr>
        <w:t xml:space="preserve"> Part</w:t>
      </w:r>
      <w:r w:rsidRPr="00D2652B">
        <w:rPr>
          <w:snapToGrid w:val="0"/>
          <w:sz w:val="24"/>
          <w:szCs w:val="24"/>
        </w:rPr>
        <w:t xml:space="preserve"> 86 Ill. Adm. Code 140.</w:t>
      </w:r>
    </w:p>
    <w:p w:rsidR="00D2652B" w:rsidRPr="00D2652B" w:rsidRDefault="00D2652B" w:rsidP="00D2652B">
      <w:pPr>
        <w:rPr>
          <w:snapToGrid w:val="0"/>
          <w:sz w:val="24"/>
          <w:szCs w:val="24"/>
        </w:rPr>
      </w:pPr>
    </w:p>
    <w:p w:rsidR="000174EB" w:rsidRPr="00D2652B" w:rsidRDefault="00D2652B" w:rsidP="00D2652B">
      <w:pPr>
        <w:ind w:firstLine="720"/>
        <w:rPr>
          <w:sz w:val="24"/>
          <w:szCs w:val="24"/>
        </w:rPr>
      </w:pPr>
      <w:r w:rsidRPr="00D2652B">
        <w:rPr>
          <w:sz w:val="24"/>
          <w:szCs w:val="24"/>
        </w:rPr>
        <w:t xml:space="preserve">(Source:  Added at 39 Ill. Reg. </w:t>
      </w:r>
      <w:r w:rsidR="00A40445">
        <w:rPr>
          <w:sz w:val="24"/>
          <w:szCs w:val="24"/>
        </w:rPr>
        <w:t>14616</w:t>
      </w:r>
      <w:r w:rsidRPr="00D2652B">
        <w:rPr>
          <w:sz w:val="24"/>
          <w:szCs w:val="24"/>
        </w:rPr>
        <w:t xml:space="preserve">, effective </w:t>
      </w:r>
      <w:bookmarkStart w:id="0" w:name="_GoBack"/>
      <w:r w:rsidR="00A40445">
        <w:rPr>
          <w:sz w:val="24"/>
          <w:szCs w:val="24"/>
        </w:rPr>
        <w:t>October 22, 2015</w:t>
      </w:r>
      <w:bookmarkEnd w:id="0"/>
      <w:r w:rsidRPr="00D2652B">
        <w:rPr>
          <w:sz w:val="24"/>
          <w:szCs w:val="24"/>
        </w:rPr>
        <w:t>)</w:t>
      </w:r>
    </w:p>
    <w:sectPr w:rsidR="000174EB" w:rsidRPr="00D2652B" w:rsidSect="00B52970">
      <w:headerReference w:type="even" r:id="rId6"/>
      <w:headerReference w:type="default" r:id="rId7"/>
      <w:footerReference w:type="default" r:id="rId8"/>
      <w:footerReference w:type="first" r:id="rId9"/>
      <w:footnotePr>
        <w:numRestart w:val="eachSect"/>
      </w:footnotePr>
      <w:pgSz w:w="12240" w:h="15840" w:code="1"/>
      <w:pgMar w:top="1440" w:right="1440" w:bottom="1440" w:left="1440" w:header="1440" w:footer="144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6364" w:rsidRDefault="00546364">
      <w:r>
        <w:separator/>
      </w:r>
    </w:p>
  </w:endnote>
  <w:endnote w:type="continuationSeparator" w:id="0">
    <w:p w:rsidR="00546364" w:rsidRDefault="005463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7F13" w:rsidRDefault="00A40445">
    <w:pPr>
      <w:pStyle w:val="Footer"/>
    </w:pPr>
  </w:p>
  <w:p w:rsidR="007A7F13" w:rsidRDefault="00A40445">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7F13" w:rsidRDefault="00A40445">
    <w:pPr>
      <w:pStyle w:val="Footer"/>
      <w:jc w:val="center"/>
    </w:pPr>
  </w:p>
  <w:p w:rsidR="007A7F13" w:rsidRDefault="00A404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6364" w:rsidRDefault="00546364">
      <w:r>
        <w:separator/>
      </w:r>
    </w:p>
  </w:footnote>
  <w:footnote w:type="continuationSeparator" w:id="0">
    <w:p w:rsidR="00546364" w:rsidRDefault="005463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7F13" w:rsidRPr="00D2652B" w:rsidRDefault="00A40445" w:rsidP="00D2652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7F13" w:rsidRPr="004C316E" w:rsidRDefault="00D2652B" w:rsidP="004C316E">
    <w:pPr>
      <w:pBdr>
        <w:bottom w:val="single" w:sz="4" w:space="1" w:color="auto"/>
      </w:pBdr>
      <w:ind w:right="-144"/>
      <w:jc w:val="center"/>
      <w:rPr>
        <w:snapToGrid w:val="0"/>
        <w:sz w:val="24"/>
        <w:szCs w:val="24"/>
      </w:rPr>
    </w:pPr>
    <w:r w:rsidRPr="004C316E">
      <w:rPr>
        <w:snapToGrid w:val="0"/>
        <w:sz w:val="24"/>
        <w:szCs w:val="24"/>
      </w:rPr>
      <w:t>ILLINOIS REGISTER</w:t>
    </w:r>
  </w:p>
  <w:p w:rsidR="007A7F13" w:rsidRPr="004C316E" w:rsidRDefault="00A40445" w:rsidP="004C316E">
    <w:pPr>
      <w:jc w:val="center"/>
      <w:rPr>
        <w:snapToGrid w:val="0"/>
        <w:sz w:val="24"/>
        <w:szCs w:val="24"/>
      </w:rPr>
    </w:pPr>
  </w:p>
  <w:p w:rsidR="007A7F13" w:rsidRPr="004C316E" w:rsidRDefault="00D2652B" w:rsidP="004C316E">
    <w:pPr>
      <w:jc w:val="center"/>
      <w:rPr>
        <w:snapToGrid w:val="0"/>
        <w:sz w:val="24"/>
        <w:szCs w:val="24"/>
      </w:rPr>
    </w:pPr>
    <w:r w:rsidRPr="004C316E">
      <w:rPr>
        <w:snapToGrid w:val="0"/>
        <w:sz w:val="24"/>
        <w:szCs w:val="24"/>
      </w:rPr>
      <w:t>DEPARTMENT OF REVENUE</w:t>
    </w:r>
  </w:p>
  <w:p w:rsidR="007A7F13" w:rsidRPr="004C316E" w:rsidRDefault="00A40445" w:rsidP="004C316E">
    <w:pPr>
      <w:jc w:val="center"/>
      <w:rPr>
        <w:snapToGrid w:val="0"/>
        <w:sz w:val="24"/>
        <w:szCs w:val="24"/>
      </w:rPr>
    </w:pPr>
  </w:p>
  <w:p w:rsidR="007A7F13" w:rsidRPr="004C316E" w:rsidRDefault="00D2652B" w:rsidP="004C316E">
    <w:pPr>
      <w:jc w:val="center"/>
      <w:rPr>
        <w:snapToGrid w:val="0"/>
        <w:sz w:val="24"/>
        <w:szCs w:val="24"/>
      </w:rPr>
    </w:pPr>
    <w:r w:rsidRPr="004C316E">
      <w:rPr>
        <w:snapToGrid w:val="0"/>
        <w:sz w:val="24"/>
        <w:szCs w:val="24"/>
      </w:rPr>
      <w:t>NOTICE OF PROPOSED AMENDMENT</w:t>
    </w:r>
    <w:r>
      <w:rPr>
        <w:snapToGrid w:val="0"/>
        <w:sz w:val="24"/>
        <w:szCs w:val="24"/>
      </w:rPr>
      <w:t>S</w:t>
    </w:r>
  </w:p>
  <w:p w:rsidR="007A7F13" w:rsidRDefault="00A40445" w:rsidP="004C316E">
    <w:pPr>
      <w:pStyle w:val="Header"/>
    </w:pPr>
  </w:p>
  <w:p w:rsidR="007A7F13" w:rsidRPr="004C316E" w:rsidRDefault="00A40445" w:rsidP="004C316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364"/>
    <w:rsid w:val="00000AED"/>
    <w:rsid w:val="00001F1D"/>
    <w:rsid w:val="00002EF4"/>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46364"/>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0445"/>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78A"/>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652B"/>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E2D3025-52BB-4F35-8014-272102CD7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652B"/>
  </w:style>
  <w:style w:type="paragraph" w:styleId="Heading1">
    <w:name w:val="heading 1"/>
    <w:basedOn w:val="Normal"/>
    <w:next w:val="Normal"/>
    <w:qFormat/>
    <w:pPr>
      <w:keepNext/>
      <w:spacing w:before="240" w:after="60"/>
      <w:outlineLvl w:val="0"/>
    </w:pPr>
    <w:rPr>
      <w:rFonts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rPr>
      <w:sz w:val="24"/>
      <w:szCs w:val="24"/>
    </w:rPr>
  </w:style>
  <w:style w:type="paragraph" w:styleId="Footer">
    <w:name w:val="footer"/>
    <w:basedOn w:val="Normal"/>
    <w:link w:val="FooterChar"/>
    <w:uiPriority w:val="99"/>
    <w:rsid w:val="00A600AA"/>
    <w:pPr>
      <w:tabs>
        <w:tab w:val="center" w:pos="4320"/>
        <w:tab w:val="right" w:pos="8640"/>
      </w:tabs>
    </w:pPr>
    <w:rPr>
      <w:sz w:val="24"/>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 w:val="24"/>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rPr>
      <w:sz w:val="24"/>
      <w:szCs w:val="24"/>
    </w:rPr>
  </w:style>
  <w:style w:type="character" w:customStyle="1" w:styleId="HeaderChar">
    <w:name w:val="Header Char"/>
    <w:basedOn w:val="DefaultParagraphFont"/>
    <w:link w:val="Header"/>
    <w:uiPriority w:val="99"/>
    <w:rsid w:val="00005CAE"/>
    <w:rPr>
      <w:sz w:val="24"/>
      <w:szCs w:val="24"/>
    </w:rPr>
  </w:style>
  <w:style w:type="character" w:customStyle="1" w:styleId="FooterChar">
    <w:name w:val="Footer Char"/>
    <w:basedOn w:val="DefaultParagraphFont"/>
    <w:link w:val="Footer"/>
    <w:uiPriority w:val="99"/>
    <w:rsid w:val="00D2652B"/>
    <w:rPr>
      <w:sz w:val="24"/>
      <w:szCs w:val="24"/>
    </w:rPr>
  </w:style>
  <w:style w:type="paragraph" w:styleId="BodyTextIndent">
    <w:name w:val="Body Text Indent"/>
    <w:basedOn w:val="Normal"/>
    <w:link w:val="BodyTextIndentChar"/>
    <w:rsid w:val="00D2652B"/>
    <w:pPr>
      <w:ind w:left="432"/>
    </w:pPr>
    <w:rPr>
      <w:rFonts w:ascii="Courier New" w:hAnsi="Courier New"/>
    </w:rPr>
  </w:style>
  <w:style w:type="character" w:customStyle="1" w:styleId="BodyTextIndentChar">
    <w:name w:val="Body Text Indent Char"/>
    <w:basedOn w:val="DefaultParagraphFont"/>
    <w:link w:val="BodyTextIndent"/>
    <w:rsid w:val="00D2652B"/>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180</Words>
  <Characters>1031</Characters>
  <Application>Microsoft Office Word</Application>
  <DocSecurity>0</DocSecurity>
  <Lines>8</Lines>
  <Paragraphs>2</Paragraphs>
  <ScaleCrop>false</ScaleCrop>
  <Company/>
  <LinksUpToDate>false</LinksUpToDate>
  <CharactersWithSpaces>1209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King, Melissa A.</cp:lastModifiedBy>
  <cp:revision>3</cp:revision>
  <dcterms:created xsi:type="dcterms:W3CDTF">2015-09-22T18:31:00Z</dcterms:created>
  <dcterms:modified xsi:type="dcterms:W3CDTF">2015-10-30T15:56:00Z</dcterms:modified>
</cp:coreProperties>
</file>