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A1" w:rsidRDefault="00FC33A1" w:rsidP="00FC33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3A1" w:rsidRDefault="00FC33A1" w:rsidP="00FC33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130.520  Final Returns When Business is Discontinued</w:t>
      </w:r>
      <w:r>
        <w:t xml:space="preserve"> </w:t>
      </w:r>
    </w:p>
    <w:p w:rsidR="00FC33A1" w:rsidRDefault="00FC33A1" w:rsidP="00FC33A1">
      <w:pPr>
        <w:widowControl w:val="0"/>
        <w:autoSpaceDE w:val="0"/>
        <w:autoSpaceDN w:val="0"/>
        <w:adjustRightInd w:val="0"/>
      </w:pPr>
    </w:p>
    <w:p w:rsidR="00FC33A1" w:rsidRDefault="00FC33A1" w:rsidP="00FC33A1">
      <w:pPr>
        <w:widowControl w:val="0"/>
        <w:autoSpaceDE w:val="0"/>
        <w:autoSpaceDN w:val="0"/>
        <w:adjustRightInd w:val="0"/>
      </w:pPr>
      <w:r>
        <w:t xml:space="preserve">Notwithstanding any other provision in this Regulation concerning the time within which a retailer may file his return, in the case of any retailer who ceases to engage in a kind of business which makes him responsible for filing returns under this Regulation, such retailer shall file a final return under the Act with the Department not more than one month after discontinuing such business. </w:t>
      </w:r>
    </w:p>
    <w:p w:rsidR="00FC33A1" w:rsidRDefault="00FC33A1" w:rsidP="00FC33A1">
      <w:pPr>
        <w:widowControl w:val="0"/>
        <w:autoSpaceDE w:val="0"/>
        <w:autoSpaceDN w:val="0"/>
        <w:adjustRightInd w:val="0"/>
      </w:pPr>
    </w:p>
    <w:p w:rsidR="00FC33A1" w:rsidRDefault="00FC33A1" w:rsidP="00FC33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46, p. 52, effective November 2, 1979) </w:t>
      </w:r>
    </w:p>
    <w:sectPr w:rsidR="00FC33A1" w:rsidSect="00FC3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3A1"/>
    <w:rsid w:val="00032AD9"/>
    <w:rsid w:val="005C3366"/>
    <w:rsid w:val="007637CB"/>
    <w:rsid w:val="00FC33A1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