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DC" w:rsidRDefault="00C826DC" w:rsidP="00C82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6DC" w:rsidRDefault="00C826DC" w:rsidP="00C826DC">
      <w:pPr>
        <w:widowControl w:val="0"/>
        <w:autoSpaceDE w:val="0"/>
        <w:autoSpaceDN w:val="0"/>
        <w:adjustRightInd w:val="0"/>
      </w:pPr>
      <w:r>
        <w:t xml:space="preserve">AUTHORITY:  Implementing and authorized by the Real Estate Transfer Tax Law [35 ILCS 200/Art. 31]. </w:t>
      </w:r>
    </w:p>
    <w:sectPr w:rsidR="00C826DC" w:rsidSect="00C82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6DC"/>
    <w:rsid w:val="003D3F96"/>
    <w:rsid w:val="005C3366"/>
    <w:rsid w:val="00C826DC"/>
    <w:rsid w:val="00D2796A"/>
    <w:rsid w:val="00E731E9"/>
    <w:rsid w:val="00E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Real Estate Transfer Tax Law [35 ILCS 200/Art</vt:lpstr>
    </vt:vector>
  </TitlesOfParts>
  <Company>General Assembly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Real Estate Transfer Tax Law [35 ILCS 200/Art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