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66" w:rsidRDefault="00A56166" w:rsidP="00A56166">
      <w:pPr>
        <w:widowControl w:val="0"/>
        <w:rPr>
          <w:b/>
          <w:snapToGrid w:val="0"/>
        </w:rPr>
      </w:pPr>
      <w:bookmarkStart w:id="0" w:name="_GoBack"/>
      <w:bookmarkEnd w:id="0"/>
    </w:p>
    <w:p w:rsidR="00A56166" w:rsidRPr="00EE1F80" w:rsidRDefault="00A56166" w:rsidP="00A56166">
      <w:pPr>
        <w:widowControl w:val="0"/>
        <w:rPr>
          <w:b/>
          <w:snapToGrid w:val="0"/>
        </w:rPr>
      </w:pPr>
      <w:r w:rsidRPr="00EE1F80">
        <w:rPr>
          <w:b/>
          <w:snapToGrid w:val="0"/>
        </w:rPr>
        <w:t xml:space="preserve">Section </w:t>
      </w:r>
      <w:smartTag w:uri="urn:schemas-microsoft-com:office:smarttags" w:element="phone">
        <w:smartTagPr>
          <w:attr w:name="phonenumber" w:val="$6100$$$"/>
          <w:attr w:uri="urn:schemas-microsoft-com:office:office" w:name="ls" w:val="trans"/>
        </w:smartTagPr>
        <w:r w:rsidRPr="00EE1F80">
          <w:rPr>
            <w:b/>
            <w:snapToGrid w:val="0"/>
          </w:rPr>
          <w:t>100.7360</w:t>
        </w:r>
      </w:smartTag>
      <w:r w:rsidRPr="00EE1F80">
        <w:rPr>
          <w:b/>
          <w:snapToGrid w:val="0"/>
        </w:rPr>
        <w:t xml:space="preserve">  Definitions and Special Provisions Relating to Reporting and Payment of Income Tax Withheld (IITA Sections 704 and 704A)</w:t>
      </w:r>
    </w:p>
    <w:p w:rsidR="00A56166" w:rsidRPr="00EE1F80" w:rsidRDefault="00A56166" w:rsidP="00A56166">
      <w:pPr>
        <w:ind w:left="1440" w:hanging="720"/>
        <w:rPr>
          <w:snapToGrid w:val="0"/>
        </w:rPr>
      </w:pPr>
    </w:p>
    <w:p w:rsidR="00A56166" w:rsidRPr="00EE1F80" w:rsidRDefault="00A56166" w:rsidP="00D14150">
      <w:pPr>
        <w:ind w:left="720" w:hanging="720"/>
        <w:rPr>
          <w:snapToGrid w:val="0"/>
        </w:rPr>
      </w:pPr>
      <w:r w:rsidRPr="00EE1F80">
        <w:rPr>
          <w:snapToGrid w:val="0"/>
        </w:rPr>
        <w:t>For purposes of the provisions of IITA Sections 704 and 704A:</w:t>
      </w:r>
    </w:p>
    <w:p w:rsidR="00A56166" w:rsidRPr="00EE1F80" w:rsidRDefault="00A56166" w:rsidP="00A56166">
      <w:pPr>
        <w:ind w:left="1440" w:hanging="720"/>
        <w:rPr>
          <w:snapToGrid w:val="0"/>
        </w:rPr>
      </w:pPr>
    </w:p>
    <w:p w:rsidR="00A56166" w:rsidRPr="00EE1F80" w:rsidRDefault="00A56166" w:rsidP="00A56166">
      <w:pPr>
        <w:ind w:left="1440" w:hanging="720"/>
        <w:rPr>
          <w:snapToGrid w:val="0"/>
        </w:rPr>
      </w:pPr>
      <w:r w:rsidRPr="00EE1F80">
        <w:rPr>
          <w:snapToGrid w:val="0"/>
        </w:rPr>
        <w:t>a)</w:t>
      </w:r>
      <w:r w:rsidRPr="00EE1F80">
        <w:rPr>
          <w:snapToGrid w:val="0"/>
        </w:rPr>
        <w:tab/>
        <w:t xml:space="preserve">Date of withholding.  Income tax is withheld on the date payment of compensation is made to the employee.  </w:t>
      </w:r>
      <w:r w:rsidR="00D14150">
        <w:rPr>
          <w:snapToGrid w:val="0"/>
        </w:rPr>
        <w:t>(</w:t>
      </w:r>
      <w:r w:rsidRPr="00EE1F80">
        <w:rPr>
          <w:snapToGrid w:val="0"/>
        </w:rPr>
        <w:t xml:space="preserve">See </w:t>
      </w:r>
      <w:smartTag w:uri="urn:schemas-microsoft-com:office:smarttags" w:element="stockticker">
        <w:r w:rsidRPr="00EE1F80">
          <w:rPr>
            <w:snapToGrid w:val="0"/>
          </w:rPr>
          <w:t>IRS</w:t>
        </w:r>
      </w:smartTag>
      <w:r w:rsidRPr="00EE1F80">
        <w:rPr>
          <w:snapToGrid w:val="0"/>
        </w:rPr>
        <w:t xml:space="preserve"> Revenue Ruling 74-126.</w:t>
      </w:r>
      <w:r w:rsidR="00D14150">
        <w:rPr>
          <w:snapToGrid w:val="0"/>
        </w:rPr>
        <w:t>)</w:t>
      </w:r>
      <w:r w:rsidRPr="00EE1F80">
        <w:rPr>
          <w:snapToGrid w:val="0"/>
        </w:rPr>
        <w:t xml:space="preserve">  </w:t>
      </w:r>
    </w:p>
    <w:p w:rsidR="00A56166" w:rsidRPr="00EE1F80" w:rsidRDefault="00A56166" w:rsidP="00A56166">
      <w:pPr>
        <w:ind w:left="1440" w:hanging="720"/>
        <w:rPr>
          <w:snapToGrid w:val="0"/>
        </w:rPr>
      </w:pPr>
    </w:p>
    <w:p w:rsidR="00A56166" w:rsidRPr="00EE1F80" w:rsidRDefault="00A56166" w:rsidP="00A56166">
      <w:pPr>
        <w:ind w:left="1440"/>
        <w:rPr>
          <w:snapToGrid w:val="0"/>
        </w:rPr>
      </w:pPr>
      <w:r w:rsidRPr="00EE1F80">
        <w:rPr>
          <w:snapToGrid w:val="0"/>
        </w:rPr>
        <w:t>E</w:t>
      </w:r>
      <w:r w:rsidR="00D14150">
        <w:rPr>
          <w:snapToGrid w:val="0"/>
        </w:rPr>
        <w:t>XAMPLE:</w:t>
      </w:r>
      <w:r w:rsidRPr="00EE1F80">
        <w:rPr>
          <w:snapToGrid w:val="0"/>
        </w:rPr>
        <w:t xml:space="preserve">  An employer pays employees bi-monthly on the last day of the month for services rendered through the 15</w:t>
      </w:r>
      <w:r w:rsidRPr="00076FE6">
        <w:rPr>
          <w:snapToGrid w:val="0"/>
          <w:vertAlign w:val="superscript"/>
        </w:rPr>
        <w:t>th</w:t>
      </w:r>
      <w:r w:rsidRPr="00EE1F80">
        <w:rPr>
          <w:snapToGrid w:val="0"/>
        </w:rPr>
        <w:t xml:space="preserve"> of the month and on the 15</w:t>
      </w:r>
      <w:r w:rsidRPr="00076FE6">
        <w:rPr>
          <w:snapToGrid w:val="0"/>
          <w:vertAlign w:val="superscript"/>
        </w:rPr>
        <w:t>th</w:t>
      </w:r>
      <w:r w:rsidRPr="00EE1F80">
        <w:rPr>
          <w:snapToGrid w:val="0"/>
        </w:rPr>
        <w:t xml:space="preserve"> of the month for services rendered from the 16</w:t>
      </w:r>
      <w:r w:rsidRPr="00076FE6">
        <w:rPr>
          <w:snapToGrid w:val="0"/>
          <w:vertAlign w:val="superscript"/>
        </w:rPr>
        <w:t>th</w:t>
      </w:r>
      <w:r w:rsidRPr="00EE1F80">
        <w:rPr>
          <w:snapToGrid w:val="0"/>
        </w:rPr>
        <w:t xml:space="preserve"> of the previous month through the end of the previous month.  Taxes withheld from compensation earned in the second half of May and paid on June 15 are withheld on June 15 for purposes of determining when </w:t>
      </w:r>
      <w:r w:rsidR="00D14150">
        <w:rPr>
          <w:snapToGrid w:val="0"/>
        </w:rPr>
        <w:t>the</w:t>
      </w:r>
      <w:r w:rsidRPr="00EE1F80">
        <w:rPr>
          <w:snapToGrid w:val="0"/>
        </w:rPr>
        <w:t xml:space="preserve"> taxes must be reported and paid over to the Department.   </w:t>
      </w:r>
    </w:p>
    <w:p w:rsidR="00A56166" w:rsidRPr="00EE1F80" w:rsidRDefault="00A56166" w:rsidP="00A56166">
      <w:pPr>
        <w:ind w:left="1440" w:hanging="720"/>
        <w:rPr>
          <w:snapToGrid w:val="0"/>
        </w:rPr>
      </w:pPr>
    </w:p>
    <w:p w:rsidR="00A56166" w:rsidRPr="00EE1F80" w:rsidRDefault="00A56166" w:rsidP="00A56166">
      <w:pPr>
        <w:ind w:left="1440" w:hanging="720"/>
        <w:rPr>
          <w:snapToGrid w:val="0"/>
        </w:rPr>
      </w:pPr>
      <w:r w:rsidRPr="00EE1F80">
        <w:rPr>
          <w:snapToGrid w:val="0"/>
        </w:rPr>
        <w:t>b)</w:t>
      </w:r>
      <w:r w:rsidRPr="00EE1F80">
        <w:rPr>
          <w:snapToGrid w:val="0"/>
        </w:rPr>
        <w:tab/>
        <w:t xml:space="preserve">Quarter-monthly period. </w:t>
      </w:r>
      <w:r w:rsidRPr="00EE1F80">
        <w:rPr>
          <w:i/>
          <w:snapToGrid w:val="0"/>
        </w:rPr>
        <w:t>A quarter-monthly period ends on the 7</w:t>
      </w:r>
      <w:r w:rsidRPr="00076FE6">
        <w:rPr>
          <w:i/>
          <w:snapToGrid w:val="0"/>
          <w:vertAlign w:val="superscript"/>
        </w:rPr>
        <w:t>th</w:t>
      </w:r>
      <w:r w:rsidRPr="00EE1F80">
        <w:rPr>
          <w:i/>
          <w:snapToGrid w:val="0"/>
        </w:rPr>
        <w:t>, 15</w:t>
      </w:r>
      <w:r w:rsidRPr="00076FE6">
        <w:rPr>
          <w:i/>
          <w:snapToGrid w:val="0"/>
          <w:vertAlign w:val="superscript"/>
        </w:rPr>
        <w:t>th</w:t>
      </w:r>
      <w:r w:rsidRPr="00EE1F80">
        <w:rPr>
          <w:i/>
          <w:snapToGrid w:val="0"/>
        </w:rPr>
        <w:t>, 22</w:t>
      </w:r>
      <w:r w:rsidRPr="00076FE6">
        <w:rPr>
          <w:i/>
          <w:snapToGrid w:val="0"/>
          <w:vertAlign w:val="superscript"/>
        </w:rPr>
        <w:t>nd</w:t>
      </w:r>
      <w:r w:rsidRPr="00EE1F80">
        <w:rPr>
          <w:i/>
          <w:snapToGrid w:val="0"/>
        </w:rPr>
        <w:t xml:space="preserve"> and last day of each calendar month.</w:t>
      </w:r>
      <w:r w:rsidRPr="00EE1F80">
        <w:rPr>
          <w:snapToGrid w:val="0"/>
        </w:rPr>
        <w:t xml:space="preserve">  </w:t>
      </w:r>
      <w:r w:rsidR="00D14150">
        <w:rPr>
          <w:snapToGrid w:val="0"/>
        </w:rPr>
        <w:t>(</w:t>
      </w:r>
      <w:r w:rsidRPr="00EE1F80">
        <w:rPr>
          <w:snapToGrid w:val="0"/>
        </w:rPr>
        <w:t>IITA Section 704(b)</w:t>
      </w:r>
      <w:r w:rsidR="00D14150">
        <w:rPr>
          <w:snapToGrid w:val="0"/>
        </w:rPr>
        <w:t>)</w:t>
      </w:r>
      <w:r w:rsidRPr="00EE1F80">
        <w:rPr>
          <w:snapToGrid w:val="0"/>
        </w:rPr>
        <w:t xml:space="preserve">  These dates are not affected by weekends or holidays.  That is, the 7</w:t>
      </w:r>
      <w:r w:rsidRPr="00076FE6">
        <w:rPr>
          <w:snapToGrid w:val="0"/>
          <w:vertAlign w:val="superscript"/>
        </w:rPr>
        <w:t>th</w:t>
      </w:r>
      <w:r w:rsidRPr="00EE1F80">
        <w:rPr>
          <w:snapToGrid w:val="0"/>
        </w:rPr>
        <w:t xml:space="preserve"> of a month is the end of a quarter-monthly period, even if it is a Saturday, Sunday or holiday.</w:t>
      </w:r>
    </w:p>
    <w:p w:rsidR="00A56166" w:rsidRPr="00EE1F80" w:rsidRDefault="00A56166" w:rsidP="00A56166">
      <w:pPr>
        <w:ind w:left="1440" w:hanging="720"/>
        <w:rPr>
          <w:snapToGrid w:val="0"/>
        </w:rPr>
      </w:pPr>
    </w:p>
    <w:p w:rsidR="00A56166" w:rsidRPr="00EE1F80" w:rsidRDefault="00A56166" w:rsidP="00A56166">
      <w:pPr>
        <w:ind w:left="1440" w:hanging="720"/>
        <w:rPr>
          <w:snapToGrid w:val="0"/>
        </w:rPr>
      </w:pPr>
      <w:r w:rsidRPr="00EE1F80">
        <w:rPr>
          <w:snapToGrid w:val="0"/>
        </w:rPr>
        <w:t>c)</w:t>
      </w:r>
      <w:r w:rsidRPr="00EE1F80">
        <w:rPr>
          <w:snapToGrid w:val="0"/>
        </w:rPr>
        <w:tab/>
        <w:t xml:space="preserve">Banking day.  </w:t>
      </w:r>
      <w:r w:rsidRPr="00EE1F80">
        <w:rPr>
          <w:i/>
          <w:snapToGrid w:val="0"/>
        </w:rPr>
        <w:t>Saturdays, Sundays, legal holidays and local bank holidays are not banking days.</w:t>
      </w:r>
      <w:r w:rsidRPr="00EE1F80">
        <w:rPr>
          <w:snapToGrid w:val="0"/>
        </w:rPr>
        <w:t xml:space="preserve">  </w:t>
      </w:r>
      <w:r w:rsidR="00D14150">
        <w:rPr>
          <w:snapToGrid w:val="0"/>
        </w:rPr>
        <w:t>(</w:t>
      </w:r>
      <w:r w:rsidRPr="00EE1F80">
        <w:rPr>
          <w:snapToGrid w:val="0"/>
        </w:rPr>
        <w:t>IITA Section 704(b)</w:t>
      </w:r>
      <w:r w:rsidR="00D14150">
        <w:rPr>
          <w:snapToGrid w:val="0"/>
        </w:rPr>
        <w:t>)</w:t>
      </w:r>
    </w:p>
    <w:p w:rsidR="00A56166" w:rsidRPr="00EE1F80" w:rsidRDefault="00A56166" w:rsidP="00A56166">
      <w:pPr>
        <w:ind w:left="1440" w:hanging="720"/>
        <w:rPr>
          <w:snapToGrid w:val="0"/>
        </w:rPr>
      </w:pPr>
    </w:p>
    <w:p w:rsidR="00A56166" w:rsidRPr="00EE1F80" w:rsidRDefault="00A56166" w:rsidP="00A56166">
      <w:pPr>
        <w:ind w:left="1440" w:hanging="720"/>
        <w:rPr>
          <w:snapToGrid w:val="0"/>
        </w:rPr>
      </w:pPr>
      <w:r w:rsidRPr="00EE1F80">
        <w:rPr>
          <w:snapToGrid w:val="0"/>
        </w:rPr>
        <w:t>d)</w:t>
      </w:r>
      <w:r w:rsidRPr="00EE1F80">
        <w:rPr>
          <w:snapToGrid w:val="0"/>
        </w:rPr>
        <w:tab/>
        <w:t xml:space="preserve">Employer, employee and compensation.  The term "employer" includes all persons required to withhold </w:t>
      </w:r>
      <w:smartTag w:uri="urn:schemas-microsoft-com:office:smarttags" w:element="State">
        <w:r w:rsidRPr="00EE1F80">
          <w:rPr>
            <w:snapToGrid w:val="0"/>
          </w:rPr>
          <w:t>Illinois</w:t>
        </w:r>
      </w:smartTag>
      <w:r w:rsidRPr="00EE1F80">
        <w:rPr>
          <w:snapToGrid w:val="0"/>
        </w:rPr>
        <w:t xml:space="preserve"> income tax; "employee" includes all persons from whom </w:t>
      </w:r>
      <w:smartTag w:uri="urn:schemas-microsoft-com:office:smarttags" w:element="State">
        <w:r w:rsidRPr="00EE1F80">
          <w:rPr>
            <w:snapToGrid w:val="0"/>
          </w:rPr>
          <w:t>Illinois</w:t>
        </w:r>
      </w:smartTag>
      <w:r w:rsidRPr="00EE1F80">
        <w:rPr>
          <w:snapToGrid w:val="0"/>
        </w:rPr>
        <w:t xml:space="preserve"> income tax is required to be withheld; and "compensation" includes all payments from which </w:t>
      </w:r>
      <w:smartTag w:uri="urn:schemas-microsoft-com:office:smarttags" w:element="State">
        <w:smartTag w:uri="urn:schemas-microsoft-com:office:smarttags" w:element="place">
          <w:r w:rsidRPr="00EE1F80">
            <w:rPr>
              <w:snapToGrid w:val="0"/>
            </w:rPr>
            <w:t>Illinois</w:t>
          </w:r>
        </w:smartTag>
      </w:smartTag>
      <w:r w:rsidRPr="00EE1F80">
        <w:rPr>
          <w:snapToGrid w:val="0"/>
        </w:rPr>
        <w:t xml:space="preserve"> income tax is withheld or required to be withheld </w:t>
      </w:r>
      <w:r w:rsidR="00D14150">
        <w:rPr>
          <w:snapToGrid w:val="0"/>
        </w:rPr>
        <w:t xml:space="preserve">under </w:t>
      </w:r>
      <w:r w:rsidRPr="00EE1F80">
        <w:rPr>
          <w:snapToGrid w:val="0"/>
        </w:rPr>
        <w:t>IITA Section 711(a).  For purposes of determining when monthly,</w:t>
      </w:r>
      <w:r w:rsidRPr="00A56166">
        <w:rPr>
          <w:snapToGrid w:val="0"/>
        </w:rPr>
        <w:t xml:space="preserve"> </w:t>
      </w:r>
      <w:r w:rsidRPr="00EE1F80">
        <w:rPr>
          <w:snapToGrid w:val="0"/>
        </w:rPr>
        <w:t xml:space="preserve">quarter-monthly or semi-weekly payments must be made and whether an employer is required to pay by electronic funds transfer, the amount of tax withheld or required to be withheld by the employer shall include all taxes withheld or required to be withheld under Article 7 of the IITA, other than taxes withheld from domestic employees that are reported and paid pursuant to Section 100.7350.  </w:t>
      </w:r>
      <w:r w:rsidR="00D14150">
        <w:rPr>
          <w:snapToGrid w:val="0"/>
        </w:rPr>
        <w:t xml:space="preserve">(See </w:t>
      </w:r>
      <w:r w:rsidRPr="00EE1F80">
        <w:rPr>
          <w:snapToGrid w:val="0"/>
        </w:rPr>
        <w:t>IITA Section 711(a) and Section 2505-210 of the Department of Revenue Law</w:t>
      </w:r>
      <w:r w:rsidR="00FE28E1">
        <w:rPr>
          <w:snapToGrid w:val="0"/>
        </w:rPr>
        <w:t xml:space="preserve"> [20 </w:t>
      </w:r>
      <w:proofErr w:type="spellStart"/>
      <w:r w:rsidR="00FE28E1">
        <w:rPr>
          <w:snapToGrid w:val="0"/>
        </w:rPr>
        <w:t>ILCS</w:t>
      </w:r>
      <w:proofErr w:type="spellEnd"/>
      <w:r w:rsidR="00FE28E1">
        <w:rPr>
          <w:snapToGrid w:val="0"/>
        </w:rPr>
        <w:t xml:space="preserve"> 2505/2505-210]</w:t>
      </w:r>
      <w:r w:rsidRPr="00EE1F80">
        <w:rPr>
          <w:snapToGrid w:val="0"/>
        </w:rPr>
        <w:t>.</w:t>
      </w:r>
      <w:r w:rsidR="00D14150">
        <w:rPr>
          <w:snapToGrid w:val="0"/>
        </w:rPr>
        <w:t>)</w:t>
      </w:r>
    </w:p>
    <w:p w:rsidR="00A56166" w:rsidRPr="00EE1F80" w:rsidRDefault="00A56166" w:rsidP="00A56166">
      <w:pPr>
        <w:ind w:left="1440" w:hanging="720"/>
        <w:rPr>
          <w:snapToGrid w:val="0"/>
        </w:rPr>
      </w:pPr>
    </w:p>
    <w:p w:rsidR="00A56166" w:rsidRDefault="00A56166" w:rsidP="00A56166">
      <w:pPr>
        <w:ind w:left="1440" w:hanging="720"/>
        <w:rPr>
          <w:snapToGrid w:val="0"/>
        </w:rPr>
      </w:pPr>
      <w:r w:rsidRPr="00EE1F80">
        <w:rPr>
          <w:snapToGrid w:val="0"/>
        </w:rPr>
        <w:t>e)</w:t>
      </w:r>
      <w:r w:rsidRPr="00EE1F80">
        <w:rPr>
          <w:snapToGrid w:val="0"/>
        </w:rPr>
        <w:tab/>
        <w:t xml:space="preserve">Look-back period. The term </w:t>
      </w:r>
      <w:r>
        <w:rPr>
          <w:snapToGrid w:val="0"/>
        </w:rPr>
        <w:t>"</w:t>
      </w:r>
      <w:r w:rsidRPr="00EE1F80">
        <w:rPr>
          <w:snapToGrid w:val="0"/>
        </w:rPr>
        <w:t>look-back period</w:t>
      </w:r>
      <w:r>
        <w:rPr>
          <w:snapToGrid w:val="0"/>
        </w:rPr>
        <w:t>"</w:t>
      </w:r>
      <w:r w:rsidRPr="00EE1F80">
        <w:rPr>
          <w:snapToGrid w:val="0"/>
        </w:rPr>
        <w:t xml:space="preserve"> for a calendar year means the 12-month period ending June 30 of the preceding calendar year.  For example, the look-back period for calendar 2008 is the period from </w:t>
      </w:r>
      <w:smartTag w:uri="urn:schemas-microsoft-com:office:smarttags" w:element="date">
        <w:smartTagPr>
          <w:attr w:name="Year" w:val="2006"/>
          <w:attr w:name="Day" w:val="1"/>
          <w:attr w:name="Month" w:val="7"/>
          <w:attr w:name="ls" w:val="trans"/>
        </w:smartTagPr>
        <w:r w:rsidRPr="00EE1F80">
          <w:rPr>
            <w:snapToGrid w:val="0"/>
          </w:rPr>
          <w:t>July 1, 2006</w:t>
        </w:r>
      </w:smartTag>
      <w:r w:rsidRPr="00EE1F80">
        <w:rPr>
          <w:snapToGrid w:val="0"/>
        </w:rPr>
        <w:t xml:space="preserve"> through </w:t>
      </w:r>
      <w:smartTag w:uri="urn:schemas-microsoft-com:office:smarttags" w:element="date">
        <w:smartTagPr>
          <w:attr w:name="Year" w:val="2007"/>
          <w:attr w:name="Day" w:val="30"/>
          <w:attr w:name="Month" w:val="6"/>
          <w:attr w:name="ls" w:val="trans"/>
        </w:smartTagPr>
        <w:r w:rsidRPr="00EE1F80">
          <w:rPr>
            <w:snapToGrid w:val="0"/>
          </w:rPr>
          <w:t>June 30, 2007</w:t>
        </w:r>
      </w:smartTag>
      <w:r w:rsidRPr="00EE1F80">
        <w:rPr>
          <w:snapToGrid w:val="0"/>
        </w:rPr>
        <w:t>.</w:t>
      </w:r>
    </w:p>
    <w:p w:rsidR="001C71C2" w:rsidRDefault="001C71C2" w:rsidP="00A56166"/>
    <w:p w:rsidR="00A56166" w:rsidRPr="00D55B37" w:rsidRDefault="00A56166">
      <w:pPr>
        <w:pStyle w:val="JCARSourceNote"/>
        <w:ind w:left="720"/>
      </w:pPr>
      <w:r w:rsidRPr="00D55B37">
        <w:t xml:space="preserve">(Source:  Added at </w:t>
      </w:r>
      <w:r>
        <w:t>32</w:t>
      </w:r>
      <w:r w:rsidRPr="00D55B37">
        <w:t xml:space="preserve"> Ill. Reg. </w:t>
      </w:r>
      <w:r w:rsidR="007C2CC6">
        <w:t>17492</w:t>
      </w:r>
      <w:r w:rsidRPr="00D55B37">
        <w:t xml:space="preserve">, effective </w:t>
      </w:r>
      <w:r w:rsidR="007C2CC6">
        <w:t>October 24, 2008</w:t>
      </w:r>
      <w:r w:rsidRPr="00D55B37">
        <w:t>)</w:t>
      </w:r>
    </w:p>
    <w:sectPr w:rsidR="00A56166" w:rsidRPr="00D55B37"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9CC" w:rsidRDefault="009E29CC">
      <w:r>
        <w:separator/>
      </w:r>
    </w:p>
  </w:endnote>
  <w:endnote w:type="continuationSeparator" w:id="0">
    <w:p w:rsidR="009E29CC" w:rsidRDefault="009E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9CC" w:rsidRDefault="009E29CC">
      <w:r>
        <w:separator/>
      </w:r>
    </w:p>
  </w:footnote>
  <w:footnote w:type="continuationSeparator" w:id="0">
    <w:p w:rsidR="009E29CC" w:rsidRDefault="009E2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00EE"/>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76A6"/>
    <w:rsid w:val="00074368"/>
    <w:rsid w:val="000765E0"/>
    <w:rsid w:val="00076FE6"/>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730D"/>
    <w:rsid w:val="00350372"/>
    <w:rsid w:val="00356003"/>
    <w:rsid w:val="00367A2E"/>
    <w:rsid w:val="00370F09"/>
    <w:rsid w:val="00374367"/>
    <w:rsid w:val="00374639"/>
    <w:rsid w:val="00375C58"/>
    <w:rsid w:val="00385640"/>
    <w:rsid w:val="00393652"/>
    <w:rsid w:val="00394002"/>
    <w:rsid w:val="003A4E0A"/>
    <w:rsid w:val="003B419A"/>
    <w:rsid w:val="003B5138"/>
    <w:rsid w:val="003D0D44"/>
    <w:rsid w:val="003D12E4"/>
    <w:rsid w:val="003D4D4A"/>
    <w:rsid w:val="003E00EE"/>
    <w:rsid w:val="003E6ADD"/>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4ECD"/>
    <w:rsid w:val="00790388"/>
    <w:rsid w:val="00794C7C"/>
    <w:rsid w:val="00796D0E"/>
    <w:rsid w:val="007A1867"/>
    <w:rsid w:val="007A7D79"/>
    <w:rsid w:val="007C2CC6"/>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3330"/>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29C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56166"/>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46CB"/>
    <w:rsid w:val="00AE5547"/>
    <w:rsid w:val="00AE776A"/>
    <w:rsid w:val="00AF2883"/>
    <w:rsid w:val="00AF3304"/>
    <w:rsid w:val="00AF768C"/>
    <w:rsid w:val="00B01411"/>
    <w:rsid w:val="00B15414"/>
    <w:rsid w:val="00B16A7B"/>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14150"/>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80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28E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1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1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2012-06-21T20:03:00Z</dcterms:created>
  <dcterms:modified xsi:type="dcterms:W3CDTF">2012-06-21T20:03:00Z</dcterms:modified>
</cp:coreProperties>
</file>