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2D6B" w:rsidRPr="00DE6F15" w:rsidRDefault="00102D6B" w:rsidP="00102D6B">
      <w:pPr>
        <w:widowControl w:val="0"/>
        <w:autoSpaceDE w:val="0"/>
        <w:autoSpaceDN w:val="0"/>
        <w:adjustRightInd w:val="0"/>
        <w:rPr>
          <w:b/>
          <w:bCs/>
          <w:sz w:val="24"/>
          <w:szCs w:val="24"/>
        </w:rPr>
      </w:pPr>
    </w:p>
    <w:p w:rsidR="00102D6B" w:rsidRDefault="00102D6B" w:rsidP="00102D6B">
      <w:pPr>
        <w:rPr>
          <w:b/>
          <w:sz w:val="24"/>
        </w:rPr>
      </w:pPr>
      <w:r w:rsidRPr="00102D6B">
        <w:rPr>
          <w:b/>
          <w:sz w:val="24"/>
          <w:szCs w:val="24"/>
        </w:rPr>
        <w:t>Section 100.3600</w:t>
      </w:r>
      <w:r>
        <w:rPr>
          <w:b/>
        </w:rPr>
        <w:t xml:space="preserve">  </w:t>
      </w:r>
      <w:r w:rsidRPr="00595F9C">
        <w:rPr>
          <w:b/>
          <w:sz w:val="24"/>
          <w:szCs w:val="24"/>
        </w:rPr>
        <w:t xml:space="preserve">Combined Apportionment for Taxpayers Using Different Apportionment Formulas </w:t>
      </w:r>
      <w:r>
        <w:rPr>
          <w:b/>
          <w:sz w:val="24"/>
        </w:rPr>
        <w:t>(IITA Section</w:t>
      </w:r>
      <w:r w:rsidR="00DA54AE">
        <w:rPr>
          <w:b/>
          <w:sz w:val="24"/>
        </w:rPr>
        <w:t xml:space="preserve"> </w:t>
      </w:r>
      <w:r>
        <w:rPr>
          <w:b/>
          <w:sz w:val="24"/>
        </w:rPr>
        <w:t>1501(a)(27))</w:t>
      </w:r>
    </w:p>
    <w:p w:rsidR="00102D6B" w:rsidRDefault="00102D6B" w:rsidP="00102D6B">
      <w:pPr>
        <w:rPr>
          <w:sz w:val="24"/>
        </w:rPr>
      </w:pPr>
    </w:p>
    <w:p w:rsidR="00102D6B" w:rsidRPr="00595F9C" w:rsidRDefault="00102D6B" w:rsidP="00102D6B">
      <w:pPr>
        <w:autoSpaceDE w:val="0"/>
        <w:autoSpaceDN w:val="0"/>
        <w:adjustRightInd w:val="0"/>
        <w:ind w:left="1440" w:hanging="720"/>
        <w:rPr>
          <w:sz w:val="24"/>
          <w:szCs w:val="24"/>
        </w:rPr>
      </w:pPr>
      <w:r w:rsidRPr="00595F9C">
        <w:rPr>
          <w:sz w:val="24"/>
          <w:szCs w:val="24"/>
        </w:rPr>
        <w:t>a)</w:t>
      </w:r>
      <w:r>
        <w:rPr>
          <w:sz w:val="24"/>
          <w:szCs w:val="24"/>
        </w:rPr>
        <w:tab/>
      </w:r>
      <w:r w:rsidRPr="00595F9C">
        <w:rPr>
          <w:sz w:val="24"/>
          <w:szCs w:val="24"/>
        </w:rPr>
        <w:t>IITA Section 1501(a)(27) provides that</w:t>
      </w:r>
      <w:r>
        <w:rPr>
          <w:sz w:val="24"/>
          <w:szCs w:val="24"/>
        </w:rPr>
        <w:t xml:space="preserve">, </w:t>
      </w:r>
      <w:r w:rsidRPr="00595F9C">
        <w:rPr>
          <w:i/>
          <w:sz w:val="24"/>
          <w:szCs w:val="24"/>
        </w:rPr>
        <w:t xml:space="preserve">in no event, for taxable years ending prior to December 31, 2017, </w:t>
      </w:r>
      <w:r>
        <w:rPr>
          <w:i/>
          <w:sz w:val="24"/>
          <w:szCs w:val="24"/>
        </w:rPr>
        <w:t>ma</w:t>
      </w:r>
      <w:r w:rsidRPr="00595F9C">
        <w:rPr>
          <w:i/>
          <w:sz w:val="24"/>
          <w:szCs w:val="24"/>
        </w:rPr>
        <w:t xml:space="preserve">y </w:t>
      </w:r>
      <w:r>
        <w:rPr>
          <w:i/>
          <w:sz w:val="24"/>
          <w:szCs w:val="24"/>
        </w:rPr>
        <w:t xml:space="preserve">any </w:t>
      </w:r>
      <w:r w:rsidRPr="00595F9C">
        <w:rPr>
          <w:i/>
          <w:sz w:val="24"/>
          <w:szCs w:val="24"/>
        </w:rPr>
        <w:t xml:space="preserve">unitary business group include members </w:t>
      </w:r>
      <w:r w:rsidR="00561444">
        <w:rPr>
          <w:i/>
          <w:sz w:val="24"/>
          <w:szCs w:val="24"/>
        </w:rPr>
        <w:t>that</w:t>
      </w:r>
      <w:r w:rsidRPr="00595F9C">
        <w:rPr>
          <w:i/>
          <w:sz w:val="24"/>
          <w:szCs w:val="24"/>
        </w:rPr>
        <w:t xml:space="preserve"> are ordinarily required to apportion business income under different subsections of </w:t>
      </w:r>
      <w:r>
        <w:rPr>
          <w:i/>
          <w:sz w:val="24"/>
          <w:szCs w:val="24"/>
        </w:rPr>
        <w:t xml:space="preserve">IITA </w:t>
      </w:r>
      <w:r w:rsidRPr="00595F9C">
        <w:rPr>
          <w:i/>
          <w:sz w:val="24"/>
          <w:szCs w:val="24"/>
        </w:rPr>
        <w:t>Section 304</w:t>
      </w:r>
      <w:r>
        <w:t>.</w:t>
      </w:r>
      <w:r w:rsidRPr="00595F9C">
        <w:t xml:space="preserve"> </w:t>
      </w:r>
    </w:p>
    <w:p w:rsidR="00102D6B" w:rsidRPr="00595F9C" w:rsidRDefault="00102D6B" w:rsidP="00DE6F15">
      <w:pPr>
        <w:autoSpaceDE w:val="0"/>
        <w:autoSpaceDN w:val="0"/>
        <w:adjustRightInd w:val="0"/>
        <w:rPr>
          <w:sz w:val="24"/>
          <w:szCs w:val="24"/>
        </w:rPr>
      </w:pPr>
    </w:p>
    <w:p w:rsidR="00C17192" w:rsidRDefault="00102D6B" w:rsidP="00102D6B">
      <w:pPr>
        <w:autoSpaceDE w:val="0"/>
        <w:autoSpaceDN w:val="0"/>
        <w:adjustRightInd w:val="0"/>
        <w:ind w:left="1440" w:hanging="720"/>
        <w:rPr>
          <w:sz w:val="24"/>
          <w:szCs w:val="24"/>
        </w:rPr>
      </w:pPr>
      <w:r w:rsidRPr="00595F9C">
        <w:rPr>
          <w:sz w:val="24"/>
          <w:szCs w:val="24"/>
        </w:rPr>
        <w:t>b)</w:t>
      </w:r>
      <w:r>
        <w:rPr>
          <w:sz w:val="24"/>
          <w:szCs w:val="24"/>
        </w:rPr>
        <w:tab/>
      </w:r>
      <w:r w:rsidRPr="00595F9C">
        <w:rPr>
          <w:sz w:val="24"/>
          <w:szCs w:val="24"/>
        </w:rPr>
        <w:t>For t</w:t>
      </w:r>
      <w:r>
        <w:rPr>
          <w:sz w:val="24"/>
          <w:szCs w:val="24"/>
        </w:rPr>
        <w:t xml:space="preserve">axable years ending on or after December 31, 2017, the business income of a unitary business group that includes members who apportion their business income under different subsections of IITA Section 304 </w:t>
      </w:r>
      <w:r w:rsidR="00C01981">
        <w:rPr>
          <w:sz w:val="24"/>
          <w:szCs w:val="24"/>
        </w:rPr>
        <w:t>shall</w:t>
      </w:r>
      <w:r>
        <w:rPr>
          <w:sz w:val="24"/>
          <w:szCs w:val="24"/>
        </w:rPr>
        <w:t xml:space="preserve"> </w:t>
      </w:r>
      <w:r w:rsidR="004F1487">
        <w:rPr>
          <w:sz w:val="24"/>
          <w:szCs w:val="24"/>
        </w:rPr>
        <w:t xml:space="preserve">be </w:t>
      </w:r>
      <w:r>
        <w:rPr>
          <w:sz w:val="24"/>
          <w:szCs w:val="24"/>
        </w:rPr>
        <w:t xml:space="preserve">apportioned using the average of the apportionment percentages of each subgroup of members using the same apportionment formula (computed as if that subgroup were a separate unitary business group) weighted by the everywhere sales of the members of each subgroup (as determined under Sections 100.3370 and </w:t>
      </w:r>
      <w:r w:rsidR="00561444">
        <w:rPr>
          <w:sz w:val="24"/>
          <w:szCs w:val="24"/>
        </w:rPr>
        <w:t>100.</w:t>
      </w:r>
      <w:r>
        <w:rPr>
          <w:sz w:val="24"/>
          <w:szCs w:val="24"/>
        </w:rPr>
        <w:t>3380).  The apportionment percentage of each member of the unitary business group is the apportionment percentage that member would compute if the subgroup of members using the same apportionment formula of that member were a separate unitary business group</w:t>
      </w:r>
      <w:r w:rsidR="00113322">
        <w:rPr>
          <w:sz w:val="24"/>
          <w:szCs w:val="24"/>
        </w:rPr>
        <w:t>, multiplied by a fraction equal to the everywher</w:t>
      </w:r>
      <w:r w:rsidR="00C84E05">
        <w:rPr>
          <w:sz w:val="24"/>
          <w:szCs w:val="24"/>
        </w:rPr>
        <w:t>e</w:t>
      </w:r>
      <w:r w:rsidR="00113322">
        <w:rPr>
          <w:sz w:val="24"/>
          <w:szCs w:val="24"/>
        </w:rPr>
        <w:t xml:space="preserve"> sales of that subgroup divided by the everywhere sales of the unitary business group</w:t>
      </w:r>
      <w:r>
        <w:rPr>
          <w:sz w:val="24"/>
          <w:szCs w:val="24"/>
        </w:rPr>
        <w:t xml:space="preserve">.  </w:t>
      </w:r>
    </w:p>
    <w:p w:rsidR="00C17192" w:rsidRDefault="00C17192" w:rsidP="00DE6F15">
      <w:pPr>
        <w:autoSpaceDE w:val="0"/>
        <w:autoSpaceDN w:val="0"/>
        <w:adjustRightInd w:val="0"/>
        <w:rPr>
          <w:sz w:val="24"/>
          <w:szCs w:val="24"/>
        </w:rPr>
      </w:pPr>
    </w:p>
    <w:p w:rsidR="00102D6B" w:rsidRDefault="00C17192" w:rsidP="00C17192">
      <w:pPr>
        <w:autoSpaceDE w:val="0"/>
        <w:autoSpaceDN w:val="0"/>
        <w:adjustRightInd w:val="0"/>
        <w:ind w:left="2160" w:hanging="720"/>
        <w:rPr>
          <w:sz w:val="24"/>
          <w:szCs w:val="24"/>
        </w:rPr>
      </w:pPr>
      <w:r>
        <w:rPr>
          <w:sz w:val="24"/>
          <w:szCs w:val="24"/>
        </w:rPr>
        <w:t>1)</w:t>
      </w:r>
      <w:r>
        <w:rPr>
          <w:sz w:val="24"/>
          <w:szCs w:val="24"/>
        </w:rPr>
        <w:tab/>
      </w:r>
      <w:r w:rsidR="00102D6B">
        <w:rPr>
          <w:sz w:val="24"/>
          <w:szCs w:val="24"/>
        </w:rPr>
        <w:t xml:space="preserve">The apportionment percentage of each member </w:t>
      </w:r>
      <w:r w:rsidR="00C01981">
        <w:rPr>
          <w:sz w:val="24"/>
          <w:szCs w:val="24"/>
        </w:rPr>
        <w:t>shall</w:t>
      </w:r>
      <w:r w:rsidR="00102D6B">
        <w:rPr>
          <w:sz w:val="24"/>
          <w:szCs w:val="24"/>
        </w:rPr>
        <w:t xml:space="preserve"> </w:t>
      </w:r>
      <w:r w:rsidR="004F1487">
        <w:rPr>
          <w:sz w:val="24"/>
          <w:szCs w:val="24"/>
        </w:rPr>
        <w:t xml:space="preserve">be </w:t>
      </w:r>
      <w:r w:rsidR="00102D6B">
        <w:rPr>
          <w:sz w:val="24"/>
          <w:szCs w:val="24"/>
        </w:rPr>
        <w:t>equal to a fraction in which:</w:t>
      </w:r>
    </w:p>
    <w:p w:rsidR="00102D6B" w:rsidRDefault="00102D6B" w:rsidP="00DE6F15">
      <w:pPr>
        <w:autoSpaceDE w:val="0"/>
        <w:autoSpaceDN w:val="0"/>
        <w:adjustRightInd w:val="0"/>
        <w:rPr>
          <w:sz w:val="24"/>
          <w:szCs w:val="24"/>
        </w:rPr>
      </w:pPr>
    </w:p>
    <w:p w:rsidR="00102D6B" w:rsidRDefault="00C17192" w:rsidP="00C17192">
      <w:pPr>
        <w:autoSpaceDE w:val="0"/>
        <w:autoSpaceDN w:val="0"/>
        <w:adjustRightInd w:val="0"/>
        <w:ind w:left="2160"/>
        <w:rPr>
          <w:sz w:val="24"/>
          <w:szCs w:val="24"/>
        </w:rPr>
      </w:pPr>
      <w:r>
        <w:rPr>
          <w:sz w:val="24"/>
          <w:szCs w:val="24"/>
        </w:rPr>
        <w:t>A</w:t>
      </w:r>
      <w:r w:rsidR="00102D6B">
        <w:rPr>
          <w:sz w:val="24"/>
          <w:szCs w:val="24"/>
        </w:rPr>
        <w:t>)</w:t>
      </w:r>
      <w:r w:rsidR="00102D6B">
        <w:rPr>
          <w:sz w:val="24"/>
          <w:szCs w:val="24"/>
        </w:rPr>
        <w:tab/>
      </w:r>
      <w:r w:rsidR="00102D6B" w:rsidRPr="000B7D4E">
        <w:rPr>
          <w:sz w:val="24"/>
          <w:szCs w:val="24"/>
        </w:rPr>
        <w:t>the numerator</w:t>
      </w:r>
      <w:r w:rsidR="00102D6B">
        <w:rPr>
          <w:sz w:val="24"/>
          <w:szCs w:val="24"/>
        </w:rPr>
        <w:t xml:space="preserve"> for each member </w:t>
      </w:r>
      <w:r w:rsidR="00C01981">
        <w:rPr>
          <w:sz w:val="24"/>
          <w:szCs w:val="24"/>
        </w:rPr>
        <w:t>shall be</w:t>
      </w:r>
      <w:r w:rsidR="00102D6B">
        <w:rPr>
          <w:sz w:val="24"/>
          <w:szCs w:val="24"/>
        </w:rPr>
        <w:t>:</w:t>
      </w:r>
    </w:p>
    <w:p w:rsidR="00102D6B" w:rsidRDefault="00102D6B" w:rsidP="00DE6F15">
      <w:pPr>
        <w:autoSpaceDE w:val="0"/>
        <w:autoSpaceDN w:val="0"/>
        <w:adjustRightInd w:val="0"/>
        <w:rPr>
          <w:sz w:val="24"/>
          <w:szCs w:val="24"/>
        </w:rPr>
      </w:pPr>
    </w:p>
    <w:p w:rsidR="00102D6B" w:rsidRDefault="00C17192" w:rsidP="00C17192">
      <w:pPr>
        <w:autoSpaceDE w:val="0"/>
        <w:autoSpaceDN w:val="0"/>
        <w:adjustRightInd w:val="0"/>
        <w:ind w:left="3600" w:hanging="720"/>
        <w:rPr>
          <w:sz w:val="24"/>
          <w:szCs w:val="24"/>
        </w:rPr>
      </w:pPr>
      <w:r>
        <w:rPr>
          <w:sz w:val="24"/>
          <w:szCs w:val="24"/>
        </w:rPr>
        <w:t>i</w:t>
      </w:r>
      <w:r w:rsidR="00102D6B">
        <w:rPr>
          <w:sz w:val="24"/>
          <w:szCs w:val="24"/>
        </w:rPr>
        <w:t>)</w:t>
      </w:r>
      <w:r w:rsidR="00102D6B">
        <w:rPr>
          <w:sz w:val="24"/>
          <w:szCs w:val="24"/>
        </w:rPr>
        <w:tab/>
      </w:r>
      <w:r w:rsidR="00102D6B" w:rsidRPr="000B7D4E">
        <w:rPr>
          <w:sz w:val="24"/>
          <w:szCs w:val="24"/>
        </w:rPr>
        <w:t>the total sales everywhere</w:t>
      </w:r>
      <w:r w:rsidR="00102D6B">
        <w:rPr>
          <w:sz w:val="24"/>
          <w:szCs w:val="24"/>
        </w:rPr>
        <w:t xml:space="preserve">, as determined under Sections 100.3370 and </w:t>
      </w:r>
      <w:r w:rsidR="00561444">
        <w:rPr>
          <w:sz w:val="24"/>
          <w:szCs w:val="24"/>
        </w:rPr>
        <w:t>100.</w:t>
      </w:r>
      <w:r w:rsidR="00102D6B">
        <w:rPr>
          <w:sz w:val="24"/>
          <w:szCs w:val="24"/>
        </w:rPr>
        <w:t>3380,</w:t>
      </w:r>
      <w:r w:rsidR="00102D6B" w:rsidRPr="000B7D4E">
        <w:rPr>
          <w:sz w:val="24"/>
          <w:szCs w:val="24"/>
        </w:rPr>
        <w:t xml:space="preserve"> for all members of the group that apportion business income under the same subsection of </w:t>
      </w:r>
      <w:r w:rsidR="00102D6B">
        <w:rPr>
          <w:sz w:val="24"/>
          <w:szCs w:val="24"/>
        </w:rPr>
        <w:t xml:space="preserve">IITA </w:t>
      </w:r>
      <w:r w:rsidR="00102D6B" w:rsidRPr="000B7D4E">
        <w:rPr>
          <w:sz w:val="24"/>
          <w:szCs w:val="24"/>
        </w:rPr>
        <w:t xml:space="preserve">Section 304 as that member, </w:t>
      </w:r>
    </w:p>
    <w:p w:rsidR="00102D6B" w:rsidRDefault="00102D6B" w:rsidP="00DE6F15">
      <w:pPr>
        <w:autoSpaceDE w:val="0"/>
        <w:autoSpaceDN w:val="0"/>
        <w:adjustRightInd w:val="0"/>
        <w:rPr>
          <w:sz w:val="24"/>
          <w:szCs w:val="24"/>
        </w:rPr>
      </w:pPr>
    </w:p>
    <w:p w:rsidR="00102D6B" w:rsidRDefault="00C17192" w:rsidP="00C17192">
      <w:pPr>
        <w:autoSpaceDE w:val="0"/>
        <w:autoSpaceDN w:val="0"/>
        <w:adjustRightInd w:val="0"/>
        <w:ind w:left="2880"/>
        <w:rPr>
          <w:sz w:val="24"/>
          <w:szCs w:val="24"/>
        </w:rPr>
      </w:pPr>
      <w:r>
        <w:rPr>
          <w:sz w:val="24"/>
          <w:szCs w:val="24"/>
        </w:rPr>
        <w:t>ii</w:t>
      </w:r>
      <w:r w:rsidR="00102D6B" w:rsidRPr="000B7D4E">
        <w:rPr>
          <w:sz w:val="24"/>
          <w:szCs w:val="24"/>
        </w:rPr>
        <w:t>)</w:t>
      </w:r>
      <w:r w:rsidR="00102D6B">
        <w:rPr>
          <w:sz w:val="24"/>
          <w:szCs w:val="24"/>
        </w:rPr>
        <w:tab/>
      </w:r>
      <w:r w:rsidR="00102D6B" w:rsidRPr="000B7D4E">
        <w:rPr>
          <w:sz w:val="24"/>
          <w:szCs w:val="24"/>
        </w:rPr>
        <w:t>multiplied by a fraction equal to</w:t>
      </w:r>
      <w:r w:rsidR="00561444">
        <w:rPr>
          <w:sz w:val="24"/>
          <w:szCs w:val="24"/>
        </w:rPr>
        <w:t>:</w:t>
      </w:r>
      <w:r w:rsidR="00102D6B" w:rsidRPr="000B7D4E">
        <w:rPr>
          <w:sz w:val="24"/>
          <w:szCs w:val="24"/>
        </w:rPr>
        <w:t xml:space="preserve"> </w:t>
      </w:r>
    </w:p>
    <w:p w:rsidR="00102D6B" w:rsidRDefault="00102D6B" w:rsidP="00DE6F15">
      <w:pPr>
        <w:autoSpaceDE w:val="0"/>
        <w:autoSpaceDN w:val="0"/>
        <w:adjustRightInd w:val="0"/>
        <w:rPr>
          <w:sz w:val="24"/>
          <w:szCs w:val="24"/>
        </w:rPr>
      </w:pPr>
    </w:p>
    <w:p w:rsidR="00102D6B" w:rsidRDefault="00C17192" w:rsidP="00C17192">
      <w:pPr>
        <w:autoSpaceDE w:val="0"/>
        <w:autoSpaceDN w:val="0"/>
        <w:adjustRightInd w:val="0"/>
        <w:ind w:left="4320" w:hanging="720"/>
        <w:rPr>
          <w:sz w:val="24"/>
          <w:szCs w:val="24"/>
        </w:rPr>
      </w:pPr>
      <w:r w:rsidRPr="00C17192">
        <w:rPr>
          <w:sz w:val="18"/>
          <w:szCs w:val="18"/>
        </w:rPr>
        <w:t>●</w:t>
      </w:r>
      <w:r w:rsidR="00102D6B">
        <w:rPr>
          <w:sz w:val="24"/>
          <w:szCs w:val="24"/>
        </w:rPr>
        <w:tab/>
      </w:r>
      <w:r w:rsidR="00102D6B" w:rsidRPr="000B7D4E">
        <w:rPr>
          <w:sz w:val="24"/>
          <w:szCs w:val="24"/>
        </w:rPr>
        <w:t>that member</w:t>
      </w:r>
      <w:r w:rsidR="00102D6B">
        <w:rPr>
          <w:sz w:val="24"/>
          <w:szCs w:val="24"/>
        </w:rPr>
        <w:t>'</w:t>
      </w:r>
      <w:r w:rsidR="00102D6B" w:rsidRPr="000B7D4E">
        <w:rPr>
          <w:sz w:val="24"/>
          <w:szCs w:val="24"/>
        </w:rPr>
        <w:t xml:space="preserve">s Illinois numerator of the apportionment factor determined under the </w:t>
      </w:r>
      <w:r w:rsidR="00102D6B">
        <w:rPr>
          <w:sz w:val="24"/>
          <w:szCs w:val="24"/>
        </w:rPr>
        <w:t>s</w:t>
      </w:r>
      <w:r w:rsidR="00102D6B" w:rsidRPr="000B7D4E">
        <w:rPr>
          <w:sz w:val="24"/>
          <w:szCs w:val="24"/>
        </w:rPr>
        <w:t xml:space="preserve">ubsection of </w:t>
      </w:r>
      <w:r w:rsidR="00102D6B">
        <w:rPr>
          <w:sz w:val="24"/>
          <w:szCs w:val="24"/>
        </w:rPr>
        <w:t xml:space="preserve">IITA </w:t>
      </w:r>
      <w:r w:rsidR="00102D6B" w:rsidRPr="000B7D4E">
        <w:rPr>
          <w:sz w:val="24"/>
          <w:szCs w:val="24"/>
        </w:rPr>
        <w:t xml:space="preserve">Section 304 </w:t>
      </w:r>
      <w:r w:rsidR="00102D6B">
        <w:rPr>
          <w:sz w:val="24"/>
          <w:szCs w:val="24"/>
        </w:rPr>
        <w:t xml:space="preserve">used by that member to apportion its business income, </w:t>
      </w:r>
    </w:p>
    <w:p w:rsidR="00102D6B" w:rsidRDefault="00102D6B" w:rsidP="00DE6F15">
      <w:pPr>
        <w:autoSpaceDE w:val="0"/>
        <w:autoSpaceDN w:val="0"/>
        <w:adjustRightInd w:val="0"/>
        <w:rPr>
          <w:sz w:val="24"/>
          <w:szCs w:val="24"/>
        </w:rPr>
      </w:pPr>
    </w:p>
    <w:p w:rsidR="00102D6B" w:rsidRDefault="00C17192" w:rsidP="00C17192">
      <w:pPr>
        <w:autoSpaceDE w:val="0"/>
        <w:autoSpaceDN w:val="0"/>
        <w:adjustRightInd w:val="0"/>
        <w:ind w:left="4320" w:hanging="720"/>
        <w:rPr>
          <w:sz w:val="24"/>
          <w:szCs w:val="24"/>
        </w:rPr>
      </w:pPr>
      <w:r w:rsidRPr="00C17192">
        <w:rPr>
          <w:sz w:val="18"/>
          <w:szCs w:val="18"/>
        </w:rPr>
        <w:t>●</w:t>
      </w:r>
      <w:r w:rsidR="00102D6B">
        <w:rPr>
          <w:sz w:val="24"/>
          <w:szCs w:val="24"/>
        </w:rPr>
        <w:tab/>
      </w:r>
      <w:r w:rsidR="00102D6B" w:rsidRPr="000B7D4E">
        <w:rPr>
          <w:sz w:val="24"/>
          <w:szCs w:val="24"/>
        </w:rPr>
        <w:t>divided by the total denominators of that apportionment factor of all members required to appo</w:t>
      </w:r>
      <w:r w:rsidR="00102D6B">
        <w:rPr>
          <w:sz w:val="24"/>
          <w:szCs w:val="24"/>
        </w:rPr>
        <w:t>rtion business income under the same</w:t>
      </w:r>
      <w:r w:rsidR="00102D6B" w:rsidRPr="000B7D4E">
        <w:rPr>
          <w:sz w:val="24"/>
          <w:szCs w:val="24"/>
        </w:rPr>
        <w:t xml:space="preserve"> subsection of </w:t>
      </w:r>
      <w:r w:rsidR="00102D6B">
        <w:rPr>
          <w:sz w:val="24"/>
          <w:szCs w:val="24"/>
        </w:rPr>
        <w:t xml:space="preserve">IITA </w:t>
      </w:r>
      <w:r w:rsidR="00102D6B" w:rsidRPr="000B7D4E">
        <w:rPr>
          <w:sz w:val="24"/>
          <w:szCs w:val="24"/>
        </w:rPr>
        <w:t>Section 304</w:t>
      </w:r>
      <w:r w:rsidR="00102D6B">
        <w:rPr>
          <w:sz w:val="24"/>
          <w:szCs w:val="24"/>
        </w:rPr>
        <w:t>; and</w:t>
      </w:r>
    </w:p>
    <w:p w:rsidR="00102D6B" w:rsidRDefault="00102D6B" w:rsidP="00DE6F15">
      <w:pPr>
        <w:autoSpaceDE w:val="0"/>
        <w:autoSpaceDN w:val="0"/>
        <w:adjustRightInd w:val="0"/>
        <w:rPr>
          <w:sz w:val="24"/>
          <w:szCs w:val="24"/>
        </w:rPr>
      </w:pPr>
    </w:p>
    <w:p w:rsidR="00102D6B" w:rsidRDefault="00C17192" w:rsidP="00C17192">
      <w:pPr>
        <w:autoSpaceDE w:val="0"/>
        <w:autoSpaceDN w:val="0"/>
        <w:adjustRightInd w:val="0"/>
        <w:ind w:left="2880" w:hanging="720"/>
        <w:rPr>
          <w:sz w:val="24"/>
          <w:szCs w:val="24"/>
        </w:rPr>
      </w:pPr>
      <w:r>
        <w:rPr>
          <w:sz w:val="24"/>
          <w:szCs w:val="24"/>
        </w:rPr>
        <w:lastRenderedPageBreak/>
        <w:t>B</w:t>
      </w:r>
      <w:r w:rsidR="00102D6B">
        <w:rPr>
          <w:sz w:val="24"/>
          <w:szCs w:val="24"/>
        </w:rPr>
        <w:t>)</w:t>
      </w:r>
      <w:r w:rsidR="00102D6B">
        <w:rPr>
          <w:sz w:val="24"/>
          <w:szCs w:val="24"/>
        </w:rPr>
        <w:tab/>
        <w:t xml:space="preserve">the denominator </w:t>
      </w:r>
      <w:r w:rsidR="00C01981">
        <w:rPr>
          <w:sz w:val="24"/>
          <w:szCs w:val="24"/>
        </w:rPr>
        <w:t>shall be</w:t>
      </w:r>
      <w:r w:rsidR="00102D6B" w:rsidRPr="000B7D4E">
        <w:rPr>
          <w:sz w:val="24"/>
          <w:szCs w:val="24"/>
        </w:rPr>
        <w:t xml:space="preserve"> the sum of the everywhere sales of all members of the unitary business group</w:t>
      </w:r>
      <w:r w:rsidR="00102D6B">
        <w:rPr>
          <w:sz w:val="24"/>
          <w:szCs w:val="24"/>
        </w:rPr>
        <w:t xml:space="preserve">, as determined under Sections 100.3370 and </w:t>
      </w:r>
      <w:r w:rsidR="00561444">
        <w:rPr>
          <w:sz w:val="24"/>
          <w:szCs w:val="24"/>
        </w:rPr>
        <w:t>100.</w:t>
      </w:r>
      <w:r w:rsidR="00102D6B">
        <w:rPr>
          <w:sz w:val="24"/>
          <w:szCs w:val="24"/>
        </w:rPr>
        <w:t>3380</w:t>
      </w:r>
      <w:r w:rsidR="00C84E05">
        <w:rPr>
          <w:sz w:val="24"/>
          <w:szCs w:val="24"/>
        </w:rPr>
        <w:t>(d)</w:t>
      </w:r>
      <w:r w:rsidR="00102D6B">
        <w:rPr>
          <w:sz w:val="24"/>
          <w:szCs w:val="24"/>
        </w:rPr>
        <w:t xml:space="preserve">. </w:t>
      </w:r>
      <w:r w:rsidR="00102D6B" w:rsidRPr="000B7D4E">
        <w:rPr>
          <w:sz w:val="24"/>
          <w:szCs w:val="24"/>
        </w:rPr>
        <w:t xml:space="preserve"> </w:t>
      </w:r>
    </w:p>
    <w:p w:rsidR="00113322" w:rsidRDefault="00113322" w:rsidP="00DE6F15">
      <w:pPr>
        <w:autoSpaceDE w:val="0"/>
        <w:autoSpaceDN w:val="0"/>
        <w:adjustRightInd w:val="0"/>
        <w:rPr>
          <w:sz w:val="24"/>
          <w:szCs w:val="24"/>
        </w:rPr>
      </w:pPr>
    </w:p>
    <w:p w:rsidR="00113322" w:rsidRDefault="00C17192" w:rsidP="00102D6B">
      <w:pPr>
        <w:autoSpaceDE w:val="0"/>
        <w:autoSpaceDN w:val="0"/>
        <w:adjustRightInd w:val="0"/>
        <w:ind w:left="2160" w:hanging="720"/>
        <w:rPr>
          <w:sz w:val="24"/>
          <w:szCs w:val="24"/>
        </w:rPr>
      </w:pPr>
      <w:r>
        <w:rPr>
          <w:sz w:val="24"/>
          <w:szCs w:val="24"/>
        </w:rPr>
        <w:t>2</w:t>
      </w:r>
      <w:r w:rsidR="00113322">
        <w:rPr>
          <w:sz w:val="24"/>
          <w:szCs w:val="24"/>
        </w:rPr>
        <w:t>)</w:t>
      </w:r>
      <w:r w:rsidR="00113322">
        <w:rPr>
          <w:sz w:val="24"/>
          <w:szCs w:val="24"/>
        </w:rPr>
        <w:tab/>
        <w:t>For unitary business groups that include one or more partnerships and one or more partners, see Section 100.3380(d).</w:t>
      </w:r>
    </w:p>
    <w:p w:rsidR="00102D6B" w:rsidRDefault="00102D6B" w:rsidP="00DE6F15">
      <w:pPr>
        <w:autoSpaceDE w:val="0"/>
        <w:autoSpaceDN w:val="0"/>
        <w:adjustRightInd w:val="0"/>
        <w:rPr>
          <w:sz w:val="24"/>
          <w:szCs w:val="24"/>
        </w:rPr>
      </w:pPr>
    </w:p>
    <w:p w:rsidR="00102D6B" w:rsidRDefault="00F315F7" w:rsidP="00F315F7">
      <w:pPr>
        <w:autoSpaceDE w:val="0"/>
        <w:autoSpaceDN w:val="0"/>
        <w:adjustRightInd w:val="0"/>
        <w:ind w:left="1440" w:hanging="720"/>
        <w:rPr>
          <w:sz w:val="24"/>
          <w:szCs w:val="24"/>
        </w:rPr>
      </w:pPr>
      <w:r>
        <w:rPr>
          <w:sz w:val="24"/>
          <w:szCs w:val="24"/>
        </w:rPr>
        <w:t>c</w:t>
      </w:r>
      <w:r w:rsidR="00102D6B">
        <w:rPr>
          <w:sz w:val="24"/>
          <w:szCs w:val="24"/>
        </w:rPr>
        <w:t>)</w:t>
      </w:r>
      <w:r w:rsidR="00102D6B">
        <w:rPr>
          <w:sz w:val="24"/>
          <w:szCs w:val="24"/>
        </w:rPr>
        <w:tab/>
        <w:t>EXAMPLE</w:t>
      </w:r>
      <w:r w:rsidR="00561444">
        <w:rPr>
          <w:sz w:val="24"/>
          <w:szCs w:val="24"/>
        </w:rPr>
        <w:t>:</w:t>
      </w:r>
      <w:r w:rsidR="00CF677E">
        <w:rPr>
          <w:sz w:val="24"/>
          <w:szCs w:val="24"/>
        </w:rPr>
        <w:t xml:space="preserve">  </w:t>
      </w:r>
      <w:r w:rsidR="00102D6B">
        <w:rPr>
          <w:sz w:val="24"/>
          <w:szCs w:val="24"/>
        </w:rPr>
        <w:t>A combined group is composed of 6 members:  Corporations A and B (who apportion their business income using the sales factor under IITA Section 304(a)</w:t>
      </w:r>
      <w:r w:rsidR="00102D6B" w:rsidRPr="00EF2DFB">
        <w:rPr>
          <w:sz w:val="24"/>
          <w:szCs w:val="24"/>
        </w:rPr>
        <w:t>, so that the numerator and denominator of the Respective Section 304 Formula columns are their Illinois and everywhere sales, respectively</w:t>
      </w:r>
      <w:r w:rsidR="00102D6B">
        <w:rPr>
          <w:sz w:val="24"/>
          <w:szCs w:val="24"/>
        </w:rPr>
        <w:t>), Insurance Companies A and B (who apportion their business income using the premiums factor under IITA Section 304(b)</w:t>
      </w:r>
      <w:r w:rsidR="00102D6B" w:rsidRPr="00EF2DFB">
        <w:rPr>
          <w:sz w:val="24"/>
          <w:szCs w:val="24"/>
        </w:rPr>
        <w:t>, so that the numerator and denominator of the Respective Section 304 Formula columns are their Illinois and everywhere premiums, respectively</w:t>
      </w:r>
      <w:r w:rsidR="00102D6B">
        <w:rPr>
          <w:sz w:val="24"/>
          <w:szCs w:val="24"/>
        </w:rPr>
        <w:t>)</w:t>
      </w:r>
      <w:r w:rsidR="00C01981">
        <w:rPr>
          <w:sz w:val="24"/>
          <w:szCs w:val="24"/>
        </w:rPr>
        <w:t>,</w:t>
      </w:r>
      <w:r w:rsidR="00102D6B">
        <w:rPr>
          <w:sz w:val="24"/>
          <w:szCs w:val="24"/>
        </w:rPr>
        <w:t xml:space="preserve"> and Transportation Companies A and B (who apportion their business income using the transportation company formula under IITA Section 304(d)</w:t>
      </w:r>
      <w:r w:rsidR="00102D6B" w:rsidRPr="00EF2DFB">
        <w:rPr>
          <w:sz w:val="24"/>
          <w:szCs w:val="24"/>
        </w:rPr>
        <w:t>, so that the nu</w:t>
      </w:r>
      <w:r w:rsidR="00CF677E">
        <w:rPr>
          <w:sz w:val="24"/>
          <w:szCs w:val="24"/>
        </w:rPr>
        <w:t xml:space="preserve">merator and denominator of the </w:t>
      </w:r>
      <w:r w:rsidR="00102D6B" w:rsidRPr="00EF2DFB">
        <w:rPr>
          <w:sz w:val="24"/>
          <w:szCs w:val="24"/>
        </w:rPr>
        <w:t>Respective Section 304 Formula columns are their Illinois and everywhere transportation receipts and revenue miles, respectively</w:t>
      </w:r>
      <w:r w:rsidR="00102D6B">
        <w:rPr>
          <w:sz w:val="24"/>
          <w:szCs w:val="24"/>
        </w:rPr>
        <w:t>).  The apportionment data for the members of the group are as follows:</w:t>
      </w:r>
    </w:p>
    <w:p w:rsidR="00102D6B" w:rsidRDefault="00102D6B" w:rsidP="00DE6F15">
      <w:pPr>
        <w:autoSpaceDE w:val="0"/>
        <w:autoSpaceDN w:val="0"/>
        <w:adjustRightInd w:val="0"/>
        <w:rPr>
          <w:sz w:val="24"/>
          <w:szCs w:val="24"/>
        </w:rPr>
      </w:pPr>
    </w:p>
    <w:tbl>
      <w:tblPr>
        <w:tblW w:w="7332" w:type="dxa"/>
        <w:tblInd w:w="1710" w:type="dxa"/>
        <w:tblLayout w:type="fixed"/>
        <w:tblLook w:val="0000" w:firstRow="0" w:lastRow="0" w:firstColumn="0" w:lastColumn="0" w:noHBand="0" w:noVBand="0"/>
      </w:tblPr>
      <w:tblGrid>
        <w:gridCol w:w="1791"/>
        <w:gridCol w:w="1620"/>
        <w:gridCol w:w="1233"/>
        <w:gridCol w:w="1572"/>
        <w:gridCol w:w="1116"/>
      </w:tblGrid>
      <w:tr w:rsidR="001733D6" w:rsidRPr="00C656F9" w:rsidTr="001733D6">
        <w:tc>
          <w:tcPr>
            <w:tcW w:w="1791" w:type="dxa"/>
          </w:tcPr>
          <w:p w:rsidR="001733D6" w:rsidRPr="00C656F9" w:rsidRDefault="001733D6" w:rsidP="00DF4BC4">
            <w:pPr>
              <w:widowControl w:val="0"/>
              <w:autoSpaceDE w:val="0"/>
              <w:autoSpaceDN w:val="0"/>
              <w:adjustRightInd w:val="0"/>
              <w:rPr>
                <w:sz w:val="24"/>
                <w:szCs w:val="24"/>
              </w:rPr>
            </w:pPr>
          </w:p>
        </w:tc>
        <w:tc>
          <w:tcPr>
            <w:tcW w:w="1620" w:type="dxa"/>
            <w:vMerge w:val="restart"/>
            <w:vAlign w:val="bottom"/>
          </w:tcPr>
          <w:p w:rsidR="001733D6" w:rsidRPr="00C656F9" w:rsidRDefault="001733D6" w:rsidP="001733D6">
            <w:pPr>
              <w:widowControl w:val="0"/>
              <w:autoSpaceDE w:val="0"/>
              <w:autoSpaceDN w:val="0"/>
              <w:adjustRightInd w:val="0"/>
              <w:jc w:val="center"/>
              <w:rPr>
                <w:sz w:val="24"/>
                <w:szCs w:val="24"/>
              </w:rPr>
            </w:pPr>
            <w:r w:rsidRPr="00C656F9">
              <w:rPr>
                <w:sz w:val="24"/>
                <w:szCs w:val="24"/>
              </w:rPr>
              <w:t>Everywhere</w:t>
            </w:r>
          </w:p>
          <w:p w:rsidR="001733D6" w:rsidRPr="00C656F9" w:rsidRDefault="001733D6" w:rsidP="00DF4BC4">
            <w:pPr>
              <w:widowControl w:val="0"/>
              <w:autoSpaceDE w:val="0"/>
              <w:autoSpaceDN w:val="0"/>
              <w:adjustRightInd w:val="0"/>
              <w:ind w:left="-117" w:right="-108"/>
              <w:jc w:val="center"/>
              <w:rPr>
                <w:sz w:val="24"/>
                <w:szCs w:val="24"/>
              </w:rPr>
            </w:pPr>
            <w:r w:rsidRPr="00C656F9">
              <w:rPr>
                <w:sz w:val="24"/>
                <w:szCs w:val="24"/>
              </w:rPr>
              <w:t>Sales</w:t>
            </w:r>
          </w:p>
        </w:tc>
        <w:tc>
          <w:tcPr>
            <w:tcW w:w="3921" w:type="dxa"/>
            <w:gridSpan w:val="3"/>
            <w:tcBorders>
              <w:bottom w:val="single" w:sz="4" w:space="0" w:color="auto"/>
            </w:tcBorders>
            <w:vAlign w:val="bottom"/>
          </w:tcPr>
          <w:p w:rsidR="001733D6" w:rsidRPr="00C656F9" w:rsidRDefault="001733D6" w:rsidP="00045199">
            <w:pPr>
              <w:widowControl w:val="0"/>
              <w:autoSpaceDE w:val="0"/>
              <w:autoSpaceDN w:val="0"/>
              <w:adjustRightInd w:val="0"/>
              <w:jc w:val="center"/>
              <w:rPr>
                <w:sz w:val="24"/>
                <w:szCs w:val="24"/>
              </w:rPr>
            </w:pPr>
            <w:r w:rsidRPr="00C656F9">
              <w:rPr>
                <w:sz w:val="24"/>
                <w:szCs w:val="24"/>
              </w:rPr>
              <w:t>Respective Section 304 Formula</w:t>
            </w:r>
          </w:p>
        </w:tc>
      </w:tr>
      <w:tr w:rsidR="001733D6" w:rsidRPr="00C656F9" w:rsidTr="001F469B">
        <w:tc>
          <w:tcPr>
            <w:tcW w:w="1791" w:type="dxa"/>
            <w:vAlign w:val="bottom"/>
          </w:tcPr>
          <w:p w:rsidR="001733D6" w:rsidRPr="00C656F9" w:rsidRDefault="001733D6" w:rsidP="00DF4BC4">
            <w:pPr>
              <w:widowControl w:val="0"/>
              <w:autoSpaceDE w:val="0"/>
              <w:autoSpaceDN w:val="0"/>
              <w:adjustRightInd w:val="0"/>
              <w:ind w:left="-90" w:right="-90"/>
              <w:jc w:val="center"/>
              <w:rPr>
                <w:sz w:val="24"/>
                <w:szCs w:val="24"/>
              </w:rPr>
            </w:pPr>
            <w:r w:rsidRPr="00C656F9">
              <w:rPr>
                <w:sz w:val="24"/>
                <w:szCs w:val="24"/>
              </w:rPr>
              <w:t>Company</w:t>
            </w:r>
          </w:p>
        </w:tc>
        <w:tc>
          <w:tcPr>
            <w:tcW w:w="1620" w:type="dxa"/>
            <w:vMerge/>
            <w:vAlign w:val="bottom"/>
          </w:tcPr>
          <w:p w:rsidR="001733D6" w:rsidRPr="00C656F9" w:rsidRDefault="001733D6" w:rsidP="00DF4BC4">
            <w:pPr>
              <w:widowControl w:val="0"/>
              <w:autoSpaceDE w:val="0"/>
              <w:autoSpaceDN w:val="0"/>
              <w:adjustRightInd w:val="0"/>
              <w:ind w:left="-117" w:right="-108"/>
              <w:jc w:val="center"/>
              <w:rPr>
                <w:sz w:val="24"/>
                <w:szCs w:val="24"/>
              </w:rPr>
            </w:pPr>
          </w:p>
        </w:tc>
        <w:tc>
          <w:tcPr>
            <w:tcW w:w="1233" w:type="dxa"/>
            <w:tcBorders>
              <w:top w:val="single" w:sz="4" w:space="0" w:color="auto"/>
            </w:tcBorders>
            <w:vAlign w:val="bottom"/>
          </w:tcPr>
          <w:p w:rsidR="001733D6" w:rsidRPr="00C656F9" w:rsidRDefault="001733D6" w:rsidP="00DA54AE">
            <w:pPr>
              <w:widowControl w:val="0"/>
              <w:autoSpaceDE w:val="0"/>
              <w:autoSpaceDN w:val="0"/>
              <w:adjustRightInd w:val="0"/>
              <w:ind w:left="-99" w:right="-111"/>
              <w:jc w:val="center"/>
              <w:rPr>
                <w:sz w:val="24"/>
                <w:szCs w:val="24"/>
              </w:rPr>
            </w:pPr>
            <w:r w:rsidRPr="00C656F9">
              <w:rPr>
                <w:sz w:val="24"/>
                <w:szCs w:val="24"/>
              </w:rPr>
              <w:t>Numerator</w:t>
            </w:r>
          </w:p>
        </w:tc>
        <w:tc>
          <w:tcPr>
            <w:tcW w:w="1572" w:type="dxa"/>
            <w:tcBorders>
              <w:top w:val="single" w:sz="4" w:space="0" w:color="auto"/>
            </w:tcBorders>
            <w:vAlign w:val="bottom"/>
          </w:tcPr>
          <w:p w:rsidR="001733D6" w:rsidRPr="00C656F9" w:rsidRDefault="001733D6" w:rsidP="00DF4BC4">
            <w:pPr>
              <w:widowControl w:val="0"/>
              <w:autoSpaceDE w:val="0"/>
              <w:autoSpaceDN w:val="0"/>
              <w:adjustRightInd w:val="0"/>
              <w:ind w:left="-108" w:right="-108"/>
              <w:jc w:val="center"/>
              <w:rPr>
                <w:sz w:val="24"/>
                <w:szCs w:val="24"/>
              </w:rPr>
            </w:pPr>
            <w:r w:rsidRPr="00C656F9">
              <w:rPr>
                <w:sz w:val="24"/>
                <w:szCs w:val="24"/>
              </w:rPr>
              <w:t>Denominator</w:t>
            </w:r>
          </w:p>
        </w:tc>
        <w:tc>
          <w:tcPr>
            <w:tcW w:w="1116" w:type="dxa"/>
            <w:tcBorders>
              <w:top w:val="single" w:sz="4" w:space="0" w:color="auto"/>
            </w:tcBorders>
            <w:vAlign w:val="bottom"/>
          </w:tcPr>
          <w:p w:rsidR="001733D6" w:rsidRPr="00C656F9" w:rsidRDefault="001733D6" w:rsidP="00DF4BC4">
            <w:pPr>
              <w:widowControl w:val="0"/>
              <w:autoSpaceDE w:val="0"/>
              <w:autoSpaceDN w:val="0"/>
              <w:adjustRightInd w:val="0"/>
              <w:ind w:left="-117" w:right="-108"/>
              <w:jc w:val="center"/>
              <w:rPr>
                <w:sz w:val="24"/>
                <w:szCs w:val="24"/>
              </w:rPr>
            </w:pPr>
            <w:r w:rsidRPr="00C656F9">
              <w:rPr>
                <w:sz w:val="24"/>
                <w:szCs w:val="24"/>
              </w:rPr>
              <w:t>Percentage</w:t>
            </w:r>
          </w:p>
        </w:tc>
      </w:tr>
      <w:tr w:rsidR="000E6575" w:rsidRPr="00C656F9" w:rsidTr="001F469B">
        <w:trPr>
          <w:trHeight w:val="405"/>
        </w:trPr>
        <w:tc>
          <w:tcPr>
            <w:tcW w:w="1791" w:type="dxa"/>
            <w:vAlign w:val="bottom"/>
          </w:tcPr>
          <w:p w:rsidR="000E6575" w:rsidRPr="00C656F9" w:rsidRDefault="000E6575" w:rsidP="000E6575">
            <w:pPr>
              <w:widowControl w:val="0"/>
              <w:autoSpaceDE w:val="0"/>
              <w:autoSpaceDN w:val="0"/>
              <w:adjustRightInd w:val="0"/>
              <w:ind w:left="-90" w:right="-90"/>
              <w:rPr>
                <w:sz w:val="24"/>
                <w:szCs w:val="24"/>
              </w:rPr>
            </w:pPr>
            <w:r w:rsidRPr="00C656F9">
              <w:rPr>
                <w:sz w:val="24"/>
                <w:szCs w:val="24"/>
              </w:rPr>
              <w:t>Corporation A</w:t>
            </w:r>
          </w:p>
        </w:tc>
        <w:tc>
          <w:tcPr>
            <w:tcW w:w="1620" w:type="dxa"/>
            <w:vAlign w:val="bottom"/>
          </w:tcPr>
          <w:p w:rsidR="000E6575" w:rsidRPr="00C656F9" w:rsidRDefault="000E6575" w:rsidP="000E6575">
            <w:pPr>
              <w:widowControl w:val="0"/>
              <w:autoSpaceDE w:val="0"/>
              <w:autoSpaceDN w:val="0"/>
              <w:adjustRightInd w:val="0"/>
              <w:ind w:right="528"/>
              <w:jc w:val="right"/>
              <w:rPr>
                <w:sz w:val="24"/>
                <w:szCs w:val="24"/>
              </w:rPr>
            </w:pPr>
            <w:r w:rsidRPr="00C656F9">
              <w:rPr>
                <w:sz w:val="24"/>
                <w:szCs w:val="24"/>
              </w:rPr>
              <w:t>$100</w:t>
            </w:r>
          </w:p>
        </w:tc>
        <w:tc>
          <w:tcPr>
            <w:tcW w:w="1233" w:type="dxa"/>
            <w:vAlign w:val="bottom"/>
          </w:tcPr>
          <w:p w:rsidR="000E6575" w:rsidRPr="00C656F9" w:rsidRDefault="000E6575" w:rsidP="001F469B">
            <w:pPr>
              <w:widowControl w:val="0"/>
              <w:autoSpaceDE w:val="0"/>
              <w:autoSpaceDN w:val="0"/>
              <w:adjustRightInd w:val="0"/>
              <w:ind w:left="-108" w:right="305"/>
              <w:jc w:val="right"/>
              <w:rPr>
                <w:sz w:val="24"/>
                <w:szCs w:val="24"/>
              </w:rPr>
            </w:pPr>
            <w:r w:rsidRPr="00C656F9">
              <w:rPr>
                <w:sz w:val="24"/>
                <w:szCs w:val="24"/>
              </w:rPr>
              <w:t>$10</w:t>
            </w:r>
          </w:p>
        </w:tc>
        <w:tc>
          <w:tcPr>
            <w:tcW w:w="1572" w:type="dxa"/>
            <w:vAlign w:val="bottom"/>
          </w:tcPr>
          <w:p w:rsidR="000E6575" w:rsidRPr="00C656F9" w:rsidRDefault="000E6575" w:rsidP="001F469B">
            <w:pPr>
              <w:widowControl w:val="0"/>
              <w:autoSpaceDE w:val="0"/>
              <w:autoSpaceDN w:val="0"/>
              <w:adjustRightInd w:val="0"/>
              <w:ind w:left="-60" w:right="447"/>
              <w:jc w:val="right"/>
              <w:rPr>
                <w:sz w:val="24"/>
                <w:szCs w:val="24"/>
              </w:rPr>
            </w:pPr>
            <w:r w:rsidRPr="00C656F9">
              <w:rPr>
                <w:sz w:val="24"/>
                <w:szCs w:val="24"/>
              </w:rPr>
              <w:t>$100</w:t>
            </w:r>
          </w:p>
        </w:tc>
        <w:tc>
          <w:tcPr>
            <w:tcW w:w="1116" w:type="dxa"/>
            <w:vAlign w:val="bottom"/>
          </w:tcPr>
          <w:p w:rsidR="000E6575" w:rsidRPr="00C656F9" w:rsidRDefault="000E6575" w:rsidP="00DA54AE">
            <w:pPr>
              <w:widowControl w:val="0"/>
              <w:autoSpaceDE w:val="0"/>
              <w:autoSpaceDN w:val="0"/>
              <w:adjustRightInd w:val="0"/>
              <w:ind w:left="-117" w:right="141"/>
              <w:jc w:val="right"/>
              <w:rPr>
                <w:sz w:val="24"/>
                <w:szCs w:val="24"/>
              </w:rPr>
            </w:pPr>
            <w:r w:rsidRPr="00C656F9">
              <w:rPr>
                <w:sz w:val="24"/>
                <w:szCs w:val="24"/>
              </w:rPr>
              <w:t>3.333%</w:t>
            </w:r>
          </w:p>
        </w:tc>
      </w:tr>
      <w:tr w:rsidR="000E6575" w:rsidRPr="00C656F9" w:rsidTr="001F469B">
        <w:trPr>
          <w:trHeight w:val="207"/>
        </w:trPr>
        <w:tc>
          <w:tcPr>
            <w:tcW w:w="1791" w:type="dxa"/>
            <w:vAlign w:val="bottom"/>
          </w:tcPr>
          <w:p w:rsidR="000E6575" w:rsidRPr="00C656F9" w:rsidRDefault="000E6575" w:rsidP="000E6575">
            <w:pPr>
              <w:widowControl w:val="0"/>
              <w:autoSpaceDE w:val="0"/>
              <w:autoSpaceDN w:val="0"/>
              <w:adjustRightInd w:val="0"/>
              <w:ind w:left="-90" w:right="-90"/>
              <w:rPr>
                <w:sz w:val="24"/>
                <w:szCs w:val="24"/>
              </w:rPr>
            </w:pPr>
            <w:r w:rsidRPr="00C656F9">
              <w:rPr>
                <w:sz w:val="24"/>
                <w:szCs w:val="24"/>
              </w:rPr>
              <w:t>Corporation B</w:t>
            </w:r>
          </w:p>
        </w:tc>
        <w:tc>
          <w:tcPr>
            <w:tcW w:w="1620" w:type="dxa"/>
            <w:vAlign w:val="bottom"/>
          </w:tcPr>
          <w:p w:rsidR="000E6575" w:rsidRPr="00C656F9" w:rsidRDefault="000E6575" w:rsidP="000E6575">
            <w:pPr>
              <w:widowControl w:val="0"/>
              <w:autoSpaceDE w:val="0"/>
              <w:autoSpaceDN w:val="0"/>
              <w:adjustRightInd w:val="0"/>
              <w:ind w:right="528"/>
              <w:jc w:val="right"/>
              <w:rPr>
                <w:sz w:val="24"/>
                <w:szCs w:val="24"/>
              </w:rPr>
            </w:pPr>
            <w:r w:rsidRPr="00C656F9">
              <w:rPr>
                <w:sz w:val="24"/>
                <w:szCs w:val="24"/>
              </w:rPr>
              <w:t>$200</w:t>
            </w:r>
          </w:p>
        </w:tc>
        <w:tc>
          <w:tcPr>
            <w:tcW w:w="1233" w:type="dxa"/>
            <w:vAlign w:val="bottom"/>
          </w:tcPr>
          <w:p w:rsidR="000E6575" w:rsidRPr="00C656F9" w:rsidRDefault="000E6575" w:rsidP="001F469B">
            <w:pPr>
              <w:widowControl w:val="0"/>
              <w:autoSpaceDE w:val="0"/>
              <w:autoSpaceDN w:val="0"/>
              <w:adjustRightInd w:val="0"/>
              <w:ind w:left="-108" w:right="305"/>
              <w:jc w:val="right"/>
              <w:rPr>
                <w:sz w:val="24"/>
                <w:szCs w:val="24"/>
              </w:rPr>
            </w:pPr>
            <w:r w:rsidRPr="00C656F9">
              <w:rPr>
                <w:sz w:val="24"/>
                <w:szCs w:val="24"/>
              </w:rPr>
              <w:t>$25</w:t>
            </w:r>
          </w:p>
        </w:tc>
        <w:tc>
          <w:tcPr>
            <w:tcW w:w="1572" w:type="dxa"/>
            <w:vAlign w:val="bottom"/>
          </w:tcPr>
          <w:p w:rsidR="000E6575" w:rsidRPr="00C656F9" w:rsidRDefault="000E6575" w:rsidP="001F469B">
            <w:pPr>
              <w:widowControl w:val="0"/>
              <w:autoSpaceDE w:val="0"/>
              <w:autoSpaceDN w:val="0"/>
              <w:adjustRightInd w:val="0"/>
              <w:ind w:left="-60" w:right="447"/>
              <w:jc w:val="right"/>
              <w:rPr>
                <w:sz w:val="24"/>
                <w:szCs w:val="24"/>
              </w:rPr>
            </w:pPr>
            <w:r w:rsidRPr="00C656F9">
              <w:rPr>
                <w:sz w:val="24"/>
                <w:szCs w:val="24"/>
              </w:rPr>
              <w:t>$200</w:t>
            </w:r>
          </w:p>
        </w:tc>
        <w:tc>
          <w:tcPr>
            <w:tcW w:w="1116" w:type="dxa"/>
            <w:vAlign w:val="bottom"/>
          </w:tcPr>
          <w:p w:rsidR="000E6575" w:rsidRPr="00C656F9" w:rsidRDefault="000E6575" w:rsidP="00DA54AE">
            <w:pPr>
              <w:widowControl w:val="0"/>
              <w:autoSpaceDE w:val="0"/>
              <w:autoSpaceDN w:val="0"/>
              <w:adjustRightInd w:val="0"/>
              <w:ind w:left="-117" w:right="141"/>
              <w:jc w:val="right"/>
              <w:rPr>
                <w:sz w:val="24"/>
                <w:szCs w:val="24"/>
              </w:rPr>
            </w:pPr>
            <w:r w:rsidRPr="00C656F9">
              <w:rPr>
                <w:sz w:val="24"/>
                <w:szCs w:val="24"/>
              </w:rPr>
              <w:t>8.333%</w:t>
            </w:r>
          </w:p>
        </w:tc>
      </w:tr>
      <w:tr w:rsidR="000E6575" w:rsidRPr="00C656F9" w:rsidTr="001F469B">
        <w:trPr>
          <w:trHeight w:val="63"/>
        </w:trPr>
        <w:tc>
          <w:tcPr>
            <w:tcW w:w="1791" w:type="dxa"/>
            <w:vAlign w:val="bottom"/>
          </w:tcPr>
          <w:p w:rsidR="000E6575" w:rsidRPr="00C656F9" w:rsidRDefault="000E6575" w:rsidP="000E6575">
            <w:pPr>
              <w:widowControl w:val="0"/>
              <w:autoSpaceDE w:val="0"/>
              <w:autoSpaceDN w:val="0"/>
              <w:adjustRightInd w:val="0"/>
              <w:ind w:left="-90" w:right="-90"/>
              <w:rPr>
                <w:sz w:val="24"/>
                <w:szCs w:val="24"/>
              </w:rPr>
            </w:pPr>
            <w:r w:rsidRPr="00C656F9">
              <w:rPr>
                <w:sz w:val="24"/>
                <w:szCs w:val="24"/>
              </w:rPr>
              <w:t>Subgroup Total</w:t>
            </w:r>
          </w:p>
        </w:tc>
        <w:tc>
          <w:tcPr>
            <w:tcW w:w="1620" w:type="dxa"/>
            <w:vAlign w:val="bottom"/>
          </w:tcPr>
          <w:p w:rsidR="000E6575" w:rsidRPr="00C656F9" w:rsidRDefault="000E6575" w:rsidP="000E6575">
            <w:pPr>
              <w:widowControl w:val="0"/>
              <w:autoSpaceDE w:val="0"/>
              <w:autoSpaceDN w:val="0"/>
              <w:adjustRightInd w:val="0"/>
              <w:ind w:right="528"/>
              <w:jc w:val="right"/>
              <w:rPr>
                <w:sz w:val="24"/>
                <w:szCs w:val="24"/>
              </w:rPr>
            </w:pPr>
            <w:r w:rsidRPr="00C656F9">
              <w:rPr>
                <w:sz w:val="24"/>
                <w:szCs w:val="24"/>
              </w:rPr>
              <w:t>$300</w:t>
            </w:r>
          </w:p>
        </w:tc>
        <w:tc>
          <w:tcPr>
            <w:tcW w:w="1233" w:type="dxa"/>
            <w:vAlign w:val="bottom"/>
          </w:tcPr>
          <w:p w:rsidR="000E6575" w:rsidRPr="00C656F9" w:rsidRDefault="000E6575" w:rsidP="001F469B">
            <w:pPr>
              <w:widowControl w:val="0"/>
              <w:autoSpaceDE w:val="0"/>
              <w:autoSpaceDN w:val="0"/>
              <w:adjustRightInd w:val="0"/>
              <w:ind w:left="-108" w:right="305"/>
              <w:jc w:val="right"/>
              <w:rPr>
                <w:sz w:val="24"/>
                <w:szCs w:val="24"/>
              </w:rPr>
            </w:pPr>
            <w:r w:rsidRPr="00C656F9">
              <w:rPr>
                <w:sz w:val="24"/>
                <w:szCs w:val="24"/>
              </w:rPr>
              <w:t>$35</w:t>
            </w:r>
          </w:p>
        </w:tc>
        <w:tc>
          <w:tcPr>
            <w:tcW w:w="1572" w:type="dxa"/>
            <w:vAlign w:val="bottom"/>
          </w:tcPr>
          <w:p w:rsidR="000E6575" w:rsidRPr="00C656F9" w:rsidRDefault="000E6575" w:rsidP="001F469B">
            <w:pPr>
              <w:widowControl w:val="0"/>
              <w:autoSpaceDE w:val="0"/>
              <w:autoSpaceDN w:val="0"/>
              <w:adjustRightInd w:val="0"/>
              <w:ind w:left="-60" w:right="447"/>
              <w:jc w:val="right"/>
              <w:rPr>
                <w:sz w:val="24"/>
                <w:szCs w:val="24"/>
              </w:rPr>
            </w:pPr>
            <w:r w:rsidRPr="00C656F9">
              <w:rPr>
                <w:sz w:val="24"/>
                <w:szCs w:val="24"/>
              </w:rPr>
              <w:t>$300</w:t>
            </w:r>
          </w:p>
        </w:tc>
        <w:tc>
          <w:tcPr>
            <w:tcW w:w="1116" w:type="dxa"/>
            <w:vAlign w:val="bottom"/>
          </w:tcPr>
          <w:p w:rsidR="000E6575" w:rsidRPr="00C656F9" w:rsidRDefault="000E6575" w:rsidP="00DA54AE">
            <w:pPr>
              <w:widowControl w:val="0"/>
              <w:autoSpaceDE w:val="0"/>
              <w:autoSpaceDN w:val="0"/>
              <w:adjustRightInd w:val="0"/>
              <w:ind w:left="-117" w:right="141"/>
              <w:jc w:val="right"/>
              <w:rPr>
                <w:sz w:val="24"/>
                <w:szCs w:val="24"/>
              </w:rPr>
            </w:pPr>
          </w:p>
        </w:tc>
      </w:tr>
      <w:tr w:rsidR="000E6575" w:rsidRPr="00C656F9" w:rsidTr="001F469B">
        <w:trPr>
          <w:trHeight w:val="468"/>
        </w:trPr>
        <w:tc>
          <w:tcPr>
            <w:tcW w:w="1791" w:type="dxa"/>
            <w:vAlign w:val="bottom"/>
          </w:tcPr>
          <w:p w:rsidR="000E6575" w:rsidRPr="00C656F9" w:rsidRDefault="000E6575" w:rsidP="000E6575">
            <w:pPr>
              <w:widowControl w:val="0"/>
              <w:autoSpaceDE w:val="0"/>
              <w:autoSpaceDN w:val="0"/>
              <w:adjustRightInd w:val="0"/>
              <w:ind w:left="-90" w:right="-90"/>
              <w:rPr>
                <w:sz w:val="24"/>
                <w:szCs w:val="24"/>
              </w:rPr>
            </w:pPr>
            <w:r w:rsidRPr="00C656F9">
              <w:rPr>
                <w:sz w:val="24"/>
                <w:szCs w:val="24"/>
              </w:rPr>
              <w:t>Insurance A</w:t>
            </w:r>
          </w:p>
        </w:tc>
        <w:tc>
          <w:tcPr>
            <w:tcW w:w="1620" w:type="dxa"/>
            <w:vAlign w:val="bottom"/>
          </w:tcPr>
          <w:p w:rsidR="000E6575" w:rsidRPr="00C656F9" w:rsidRDefault="000E6575" w:rsidP="000E6575">
            <w:pPr>
              <w:widowControl w:val="0"/>
              <w:autoSpaceDE w:val="0"/>
              <w:autoSpaceDN w:val="0"/>
              <w:adjustRightInd w:val="0"/>
              <w:ind w:right="528"/>
              <w:jc w:val="right"/>
              <w:rPr>
                <w:sz w:val="24"/>
                <w:szCs w:val="24"/>
              </w:rPr>
            </w:pPr>
            <w:r w:rsidRPr="00C656F9">
              <w:rPr>
                <w:sz w:val="24"/>
                <w:szCs w:val="24"/>
              </w:rPr>
              <w:t>$250</w:t>
            </w:r>
          </w:p>
        </w:tc>
        <w:tc>
          <w:tcPr>
            <w:tcW w:w="1233" w:type="dxa"/>
            <w:vAlign w:val="bottom"/>
          </w:tcPr>
          <w:p w:rsidR="000E6575" w:rsidRPr="00C656F9" w:rsidRDefault="000E6575" w:rsidP="001F469B">
            <w:pPr>
              <w:widowControl w:val="0"/>
              <w:autoSpaceDE w:val="0"/>
              <w:autoSpaceDN w:val="0"/>
              <w:adjustRightInd w:val="0"/>
              <w:ind w:left="-108" w:right="305"/>
              <w:jc w:val="right"/>
              <w:rPr>
                <w:sz w:val="24"/>
                <w:szCs w:val="24"/>
              </w:rPr>
            </w:pPr>
            <w:r w:rsidRPr="00C656F9">
              <w:rPr>
                <w:sz w:val="24"/>
                <w:szCs w:val="24"/>
              </w:rPr>
              <w:t>$3</w:t>
            </w:r>
          </w:p>
        </w:tc>
        <w:tc>
          <w:tcPr>
            <w:tcW w:w="1572" w:type="dxa"/>
            <w:vAlign w:val="bottom"/>
          </w:tcPr>
          <w:p w:rsidR="000E6575" w:rsidRPr="00C656F9" w:rsidRDefault="000E6575" w:rsidP="001F469B">
            <w:pPr>
              <w:widowControl w:val="0"/>
              <w:autoSpaceDE w:val="0"/>
              <w:autoSpaceDN w:val="0"/>
              <w:adjustRightInd w:val="0"/>
              <w:ind w:left="-60" w:right="447"/>
              <w:jc w:val="right"/>
              <w:rPr>
                <w:sz w:val="24"/>
                <w:szCs w:val="24"/>
              </w:rPr>
            </w:pPr>
            <w:r w:rsidRPr="00C656F9">
              <w:rPr>
                <w:sz w:val="24"/>
                <w:szCs w:val="24"/>
              </w:rPr>
              <w:t>$50</w:t>
            </w:r>
          </w:p>
        </w:tc>
        <w:tc>
          <w:tcPr>
            <w:tcW w:w="1116" w:type="dxa"/>
            <w:vAlign w:val="bottom"/>
          </w:tcPr>
          <w:p w:rsidR="000E6575" w:rsidRPr="00C656F9" w:rsidRDefault="000E6575" w:rsidP="00DA54AE">
            <w:pPr>
              <w:widowControl w:val="0"/>
              <w:autoSpaceDE w:val="0"/>
              <w:autoSpaceDN w:val="0"/>
              <w:adjustRightInd w:val="0"/>
              <w:ind w:left="-117" w:right="141"/>
              <w:jc w:val="right"/>
              <w:rPr>
                <w:sz w:val="24"/>
                <w:szCs w:val="24"/>
              </w:rPr>
            </w:pPr>
            <w:r w:rsidRPr="00C656F9">
              <w:rPr>
                <w:sz w:val="24"/>
                <w:szCs w:val="24"/>
              </w:rPr>
              <w:t>2.000%</w:t>
            </w:r>
          </w:p>
        </w:tc>
      </w:tr>
      <w:tr w:rsidR="000E6575" w:rsidRPr="00C656F9" w:rsidTr="001F469B">
        <w:trPr>
          <w:trHeight w:val="54"/>
        </w:trPr>
        <w:tc>
          <w:tcPr>
            <w:tcW w:w="1791" w:type="dxa"/>
            <w:vAlign w:val="bottom"/>
          </w:tcPr>
          <w:p w:rsidR="000E6575" w:rsidRPr="00C656F9" w:rsidRDefault="000E6575" w:rsidP="000E6575">
            <w:pPr>
              <w:widowControl w:val="0"/>
              <w:autoSpaceDE w:val="0"/>
              <w:autoSpaceDN w:val="0"/>
              <w:adjustRightInd w:val="0"/>
              <w:ind w:left="-90" w:right="-90"/>
              <w:rPr>
                <w:sz w:val="24"/>
                <w:szCs w:val="24"/>
              </w:rPr>
            </w:pPr>
            <w:r w:rsidRPr="00C656F9">
              <w:rPr>
                <w:sz w:val="24"/>
                <w:szCs w:val="24"/>
              </w:rPr>
              <w:t>Insurance B</w:t>
            </w:r>
          </w:p>
        </w:tc>
        <w:tc>
          <w:tcPr>
            <w:tcW w:w="1620" w:type="dxa"/>
            <w:vAlign w:val="bottom"/>
          </w:tcPr>
          <w:p w:rsidR="000E6575" w:rsidRPr="00C656F9" w:rsidRDefault="000E6575" w:rsidP="000E6575">
            <w:pPr>
              <w:widowControl w:val="0"/>
              <w:autoSpaceDE w:val="0"/>
              <w:autoSpaceDN w:val="0"/>
              <w:adjustRightInd w:val="0"/>
              <w:ind w:right="528"/>
              <w:jc w:val="right"/>
              <w:rPr>
                <w:sz w:val="24"/>
                <w:szCs w:val="24"/>
              </w:rPr>
            </w:pPr>
            <w:r w:rsidRPr="00C656F9">
              <w:rPr>
                <w:sz w:val="24"/>
                <w:szCs w:val="24"/>
              </w:rPr>
              <w:t>$450</w:t>
            </w:r>
          </w:p>
        </w:tc>
        <w:tc>
          <w:tcPr>
            <w:tcW w:w="1233" w:type="dxa"/>
            <w:vAlign w:val="bottom"/>
          </w:tcPr>
          <w:p w:rsidR="000E6575" w:rsidRPr="00C656F9" w:rsidRDefault="000E6575" w:rsidP="001F469B">
            <w:pPr>
              <w:widowControl w:val="0"/>
              <w:autoSpaceDE w:val="0"/>
              <w:autoSpaceDN w:val="0"/>
              <w:adjustRightInd w:val="0"/>
              <w:ind w:left="-108" w:right="305"/>
              <w:jc w:val="right"/>
              <w:rPr>
                <w:sz w:val="24"/>
                <w:szCs w:val="24"/>
              </w:rPr>
            </w:pPr>
            <w:r w:rsidRPr="00C656F9">
              <w:rPr>
                <w:sz w:val="24"/>
                <w:szCs w:val="24"/>
              </w:rPr>
              <w:t>$6</w:t>
            </w:r>
          </w:p>
        </w:tc>
        <w:tc>
          <w:tcPr>
            <w:tcW w:w="1572" w:type="dxa"/>
            <w:vAlign w:val="bottom"/>
          </w:tcPr>
          <w:p w:rsidR="000E6575" w:rsidRPr="00C656F9" w:rsidRDefault="000E6575" w:rsidP="001F469B">
            <w:pPr>
              <w:widowControl w:val="0"/>
              <w:autoSpaceDE w:val="0"/>
              <w:autoSpaceDN w:val="0"/>
              <w:adjustRightInd w:val="0"/>
              <w:ind w:left="-60" w:right="447"/>
              <w:jc w:val="right"/>
              <w:rPr>
                <w:sz w:val="24"/>
                <w:szCs w:val="24"/>
              </w:rPr>
            </w:pPr>
            <w:r w:rsidRPr="00C656F9">
              <w:rPr>
                <w:sz w:val="24"/>
                <w:szCs w:val="24"/>
              </w:rPr>
              <w:t>$100</w:t>
            </w:r>
          </w:p>
        </w:tc>
        <w:tc>
          <w:tcPr>
            <w:tcW w:w="1116" w:type="dxa"/>
            <w:vAlign w:val="bottom"/>
          </w:tcPr>
          <w:p w:rsidR="000E6575" w:rsidRPr="00C656F9" w:rsidRDefault="000E6575" w:rsidP="00DA54AE">
            <w:pPr>
              <w:widowControl w:val="0"/>
              <w:autoSpaceDE w:val="0"/>
              <w:autoSpaceDN w:val="0"/>
              <w:adjustRightInd w:val="0"/>
              <w:ind w:right="141"/>
              <w:jc w:val="right"/>
              <w:rPr>
                <w:sz w:val="24"/>
                <w:szCs w:val="24"/>
              </w:rPr>
            </w:pPr>
            <w:r w:rsidRPr="00C656F9">
              <w:rPr>
                <w:sz w:val="24"/>
                <w:szCs w:val="24"/>
              </w:rPr>
              <w:t>4.000%</w:t>
            </w:r>
          </w:p>
        </w:tc>
      </w:tr>
      <w:tr w:rsidR="000E6575" w:rsidRPr="00C656F9" w:rsidTr="001F469B">
        <w:trPr>
          <w:trHeight w:val="99"/>
        </w:trPr>
        <w:tc>
          <w:tcPr>
            <w:tcW w:w="1791" w:type="dxa"/>
            <w:vAlign w:val="bottom"/>
          </w:tcPr>
          <w:p w:rsidR="000E6575" w:rsidRPr="00C656F9" w:rsidRDefault="000E6575" w:rsidP="000E6575">
            <w:pPr>
              <w:widowControl w:val="0"/>
              <w:autoSpaceDE w:val="0"/>
              <w:autoSpaceDN w:val="0"/>
              <w:adjustRightInd w:val="0"/>
              <w:ind w:left="-90" w:right="-90"/>
              <w:rPr>
                <w:sz w:val="24"/>
                <w:szCs w:val="24"/>
              </w:rPr>
            </w:pPr>
            <w:r w:rsidRPr="00C656F9">
              <w:rPr>
                <w:sz w:val="24"/>
                <w:szCs w:val="24"/>
              </w:rPr>
              <w:t>Subgroup Total</w:t>
            </w:r>
          </w:p>
        </w:tc>
        <w:tc>
          <w:tcPr>
            <w:tcW w:w="1620" w:type="dxa"/>
            <w:vAlign w:val="bottom"/>
          </w:tcPr>
          <w:p w:rsidR="000E6575" w:rsidRPr="00C656F9" w:rsidRDefault="000E6575" w:rsidP="000E6575">
            <w:pPr>
              <w:widowControl w:val="0"/>
              <w:autoSpaceDE w:val="0"/>
              <w:autoSpaceDN w:val="0"/>
              <w:adjustRightInd w:val="0"/>
              <w:ind w:right="528"/>
              <w:jc w:val="right"/>
              <w:rPr>
                <w:sz w:val="24"/>
                <w:szCs w:val="24"/>
              </w:rPr>
            </w:pPr>
            <w:r w:rsidRPr="00C656F9">
              <w:rPr>
                <w:sz w:val="24"/>
                <w:szCs w:val="24"/>
              </w:rPr>
              <w:t>$700</w:t>
            </w:r>
          </w:p>
        </w:tc>
        <w:tc>
          <w:tcPr>
            <w:tcW w:w="1233" w:type="dxa"/>
            <w:vAlign w:val="bottom"/>
          </w:tcPr>
          <w:p w:rsidR="000E6575" w:rsidRPr="00C656F9" w:rsidRDefault="000E6575" w:rsidP="001F469B">
            <w:pPr>
              <w:widowControl w:val="0"/>
              <w:autoSpaceDE w:val="0"/>
              <w:autoSpaceDN w:val="0"/>
              <w:adjustRightInd w:val="0"/>
              <w:ind w:left="-108" w:right="305"/>
              <w:jc w:val="right"/>
              <w:rPr>
                <w:sz w:val="24"/>
                <w:szCs w:val="24"/>
              </w:rPr>
            </w:pPr>
            <w:r w:rsidRPr="00C656F9">
              <w:rPr>
                <w:sz w:val="24"/>
                <w:szCs w:val="24"/>
              </w:rPr>
              <w:t>$9</w:t>
            </w:r>
          </w:p>
        </w:tc>
        <w:tc>
          <w:tcPr>
            <w:tcW w:w="1572" w:type="dxa"/>
            <w:vAlign w:val="bottom"/>
          </w:tcPr>
          <w:p w:rsidR="000E6575" w:rsidRPr="00C656F9" w:rsidRDefault="000E6575" w:rsidP="001F469B">
            <w:pPr>
              <w:widowControl w:val="0"/>
              <w:autoSpaceDE w:val="0"/>
              <w:autoSpaceDN w:val="0"/>
              <w:adjustRightInd w:val="0"/>
              <w:ind w:left="-60" w:right="447"/>
              <w:jc w:val="right"/>
              <w:rPr>
                <w:sz w:val="24"/>
                <w:szCs w:val="24"/>
              </w:rPr>
            </w:pPr>
            <w:r w:rsidRPr="00C656F9">
              <w:rPr>
                <w:sz w:val="24"/>
                <w:szCs w:val="24"/>
              </w:rPr>
              <w:t>$150</w:t>
            </w:r>
          </w:p>
        </w:tc>
        <w:tc>
          <w:tcPr>
            <w:tcW w:w="1116" w:type="dxa"/>
            <w:vAlign w:val="bottom"/>
          </w:tcPr>
          <w:p w:rsidR="000E6575" w:rsidRPr="00C656F9" w:rsidRDefault="000E6575" w:rsidP="00DA54AE">
            <w:pPr>
              <w:widowControl w:val="0"/>
              <w:autoSpaceDE w:val="0"/>
              <w:autoSpaceDN w:val="0"/>
              <w:adjustRightInd w:val="0"/>
              <w:ind w:right="141"/>
              <w:jc w:val="right"/>
              <w:rPr>
                <w:sz w:val="24"/>
                <w:szCs w:val="24"/>
              </w:rPr>
            </w:pPr>
          </w:p>
        </w:tc>
      </w:tr>
      <w:tr w:rsidR="000E6575" w:rsidRPr="00C656F9" w:rsidTr="001F469B">
        <w:trPr>
          <w:trHeight w:val="432"/>
        </w:trPr>
        <w:tc>
          <w:tcPr>
            <w:tcW w:w="1791" w:type="dxa"/>
            <w:vAlign w:val="bottom"/>
          </w:tcPr>
          <w:p w:rsidR="000E6575" w:rsidRPr="00C656F9" w:rsidRDefault="000E6575" w:rsidP="000E6575">
            <w:pPr>
              <w:widowControl w:val="0"/>
              <w:autoSpaceDE w:val="0"/>
              <w:autoSpaceDN w:val="0"/>
              <w:adjustRightInd w:val="0"/>
              <w:ind w:left="-90" w:right="-90"/>
              <w:rPr>
                <w:sz w:val="24"/>
                <w:szCs w:val="24"/>
              </w:rPr>
            </w:pPr>
            <w:r w:rsidRPr="00C656F9">
              <w:rPr>
                <w:sz w:val="24"/>
                <w:szCs w:val="24"/>
              </w:rPr>
              <w:t>Transportation A</w:t>
            </w:r>
          </w:p>
        </w:tc>
        <w:tc>
          <w:tcPr>
            <w:tcW w:w="1620" w:type="dxa"/>
            <w:vAlign w:val="bottom"/>
          </w:tcPr>
          <w:p w:rsidR="000E6575" w:rsidRPr="00C656F9" w:rsidRDefault="000E6575" w:rsidP="000E6575">
            <w:pPr>
              <w:widowControl w:val="0"/>
              <w:autoSpaceDE w:val="0"/>
              <w:autoSpaceDN w:val="0"/>
              <w:adjustRightInd w:val="0"/>
              <w:ind w:right="528"/>
              <w:jc w:val="right"/>
              <w:rPr>
                <w:sz w:val="24"/>
                <w:szCs w:val="24"/>
              </w:rPr>
            </w:pPr>
            <w:r w:rsidRPr="00C656F9">
              <w:rPr>
                <w:sz w:val="24"/>
                <w:szCs w:val="24"/>
              </w:rPr>
              <w:t>$300</w:t>
            </w:r>
          </w:p>
        </w:tc>
        <w:tc>
          <w:tcPr>
            <w:tcW w:w="1233" w:type="dxa"/>
            <w:vAlign w:val="bottom"/>
          </w:tcPr>
          <w:p w:rsidR="000E6575" w:rsidRPr="00C656F9" w:rsidRDefault="000E6575" w:rsidP="001F469B">
            <w:pPr>
              <w:widowControl w:val="0"/>
              <w:autoSpaceDE w:val="0"/>
              <w:autoSpaceDN w:val="0"/>
              <w:adjustRightInd w:val="0"/>
              <w:ind w:left="-108" w:right="305"/>
              <w:jc w:val="right"/>
              <w:rPr>
                <w:sz w:val="24"/>
                <w:szCs w:val="24"/>
              </w:rPr>
            </w:pPr>
            <w:r w:rsidRPr="00C656F9">
              <w:rPr>
                <w:sz w:val="24"/>
                <w:szCs w:val="24"/>
              </w:rPr>
              <w:t>$5</w:t>
            </w:r>
          </w:p>
        </w:tc>
        <w:tc>
          <w:tcPr>
            <w:tcW w:w="1572" w:type="dxa"/>
            <w:vAlign w:val="bottom"/>
          </w:tcPr>
          <w:p w:rsidR="000E6575" w:rsidRPr="00C656F9" w:rsidRDefault="000E6575" w:rsidP="001F469B">
            <w:pPr>
              <w:widowControl w:val="0"/>
              <w:autoSpaceDE w:val="0"/>
              <w:autoSpaceDN w:val="0"/>
              <w:adjustRightInd w:val="0"/>
              <w:ind w:left="-60" w:right="447"/>
              <w:jc w:val="right"/>
              <w:rPr>
                <w:sz w:val="24"/>
                <w:szCs w:val="24"/>
              </w:rPr>
            </w:pPr>
            <w:r w:rsidRPr="00C656F9">
              <w:rPr>
                <w:sz w:val="24"/>
                <w:szCs w:val="24"/>
              </w:rPr>
              <w:t>$25</w:t>
            </w:r>
          </w:p>
        </w:tc>
        <w:tc>
          <w:tcPr>
            <w:tcW w:w="1116" w:type="dxa"/>
            <w:vAlign w:val="bottom"/>
          </w:tcPr>
          <w:p w:rsidR="000E6575" w:rsidRPr="00C656F9" w:rsidRDefault="000E6575" w:rsidP="00DA54AE">
            <w:pPr>
              <w:widowControl w:val="0"/>
              <w:autoSpaceDE w:val="0"/>
              <w:autoSpaceDN w:val="0"/>
              <w:adjustRightInd w:val="0"/>
              <w:ind w:right="141"/>
              <w:jc w:val="right"/>
              <w:rPr>
                <w:sz w:val="24"/>
                <w:szCs w:val="24"/>
              </w:rPr>
            </w:pPr>
            <w:r w:rsidRPr="00C656F9">
              <w:rPr>
                <w:sz w:val="24"/>
                <w:szCs w:val="24"/>
              </w:rPr>
              <w:t>2.500%</w:t>
            </w:r>
          </w:p>
        </w:tc>
      </w:tr>
      <w:tr w:rsidR="000E6575" w:rsidRPr="00C656F9" w:rsidTr="001F469B">
        <w:trPr>
          <w:trHeight w:val="47"/>
        </w:trPr>
        <w:tc>
          <w:tcPr>
            <w:tcW w:w="1791" w:type="dxa"/>
            <w:vAlign w:val="bottom"/>
          </w:tcPr>
          <w:p w:rsidR="000E6575" w:rsidRPr="00C656F9" w:rsidRDefault="000E6575" w:rsidP="000E6575">
            <w:pPr>
              <w:widowControl w:val="0"/>
              <w:autoSpaceDE w:val="0"/>
              <w:autoSpaceDN w:val="0"/>
              <w:adjustRightInd w:val="0"/>
              <w:ind w:left="-90" w:right="-90"/>
              <w:rPr>
                <w:sz w:val="24"/>
                <w:szCs w:val="24"/>
              </w:rPr>
            </w:pPr>
            <w:r w:rsidRPr="00C656F9">
              <w:rPr>
                <w:sz w:val="24"/>
                <w:szCs w:val="24"/>
              </w:rPr>
              <w:t>Transportation B</w:t>
            </w:r>
          </w:p>
        </w:tc>
        <w:tc>
          <w:tcPr>
            <w:tcW w:w="1620" w:type="dxa"/>
            <w:vAlign w:val="bottom"/>
          </w:tcPr>
          <w:p w:rsidR="000E6575" w:rsidRPr="00C656F9" w:rsidRDefault="000E6575" w:rsidP="000E6575">
            <w:pPr>
              <w:widowControl w:val="0"/>
              <w:autoSpaceDE w:val="0"/>
              <w:autoSpaceDN w:val="0"/>
              <w:adjustRightInd w:val="0"/>
              <w:ind w:right="528"/>
              <w:jc w:val="right"/>
              <w:rPr>
                <w:sz w:val="24"/>
                <w:szCs w:val="24"/>
              </w:rPr>
            </w:pPr>
            <w:r w:rsidRPr="00C656F9">
              <w:rPr>
                <w:sz w:val="24"/>
                <w:szCs w:val="24"/>
              </w:rPr>
              <w:t>$700</w:t>
            </w:r>
          </w:p>
        </w:tc>
        <w:tc>
          <w:tcPr>
            <w:tcW w:w="1233" w:type="dxa"/>
            <w:vAlign w:val="bottom"/>
          </w:tcPr>
          <w:p w:rsidR="000E6575" w:rsidRPr="00C656F9" w:rsidRDefault="000E6575" w:rsidP="001F469B">
            <w:pPr>
              <w:widowControl w:val="0"/>
              <w:autoSpaceDE w:val="0"/>
              <w:autoSpaceDN w:val="0"/>
              <w:adjustRightInd w:val="0"/>
              <w:ind w:left="-108" w:right="305"/>
              <w:jc w:val="right"/>
              <w:rPr>
                <w:sz w:val="24"/>
                <w:szCs w:val="24"/>
              </w:rPr>
            </w:pPr>
            <w:r w:rsidRPr="00C656F9">
              <w:rPr>
                <w:sz w:val="24"/>
                <w:szCs w:val="24"/>
              </w:rPr>
              <w:t>$7.5</w:t>
            </w:r>
          </w:p>
        </w:tc>
        <w:tc>
          <w:tcPr>
            <w:tcW w:w="1572" w:type="dxa"/>
            <w:vAlign w:val="bottom"/>
          </w:tcPr>
          <w:p w:rsidR="000E6575" w:rsidRPr="00C656F9" w:rsidRDefault="000E6575" w:rsidP="001F469B">
            <w:pPr>
              <w:widowControl w:val="0"/>
              <w:autoSpaceDE w:val="0"/>
              <w:autoSpaceDN w:val="0"/>
              <w:adjustRightInd w:val="0"/>
              <w:ind w:left="-60" w:right="447"/>
              <w:jc w:val="right"/>
              <w:rPr>
                <w:sz w:val="24"/>
                <w:szCs w:val="24"/>
              </w:rPr>
            </w:pPr>
            <w:r w:rsidRPr="00C656F9">
              <w:rPr>
                <w:sz w:val="24"/>
                <w:szCs w:val="24"/>
              </w:rPr>
              <w:t>$175</w:t>
            </w:r>
          </w:p>
        </w:tc>
        <w:tc>
          <w:tcPr>
            <w:tcW w:w="1116" w:type="dxa"/>
            <w:vAlign w:val="bottom"/>
          </w:tcPr>
          <w:p w:rsidR="000E6575" w:rsidRPr="00C656F9" w:rsidRDefault="000E6575" w:rsidP="00DA54AE">
            <w:pPr>
              <w:widowControl w:val="0"/>
              <w:autoSpaceDE w:val="0"/>
              <w:autoSpaceDN w:val="0"/>
              <w:adjustRightInd w:val="0"/>
              <w:ind w:right="141"/>
              <w:jc w:val="right"/>
              <w:rPr>
                <w:sz w:val="24"/>
                <w:szCs w:val="24"/>
              </w:rPr>
            </w:pPr>
            <w:r w:rsidRPr="00C656F9">
              <w:rPr>
                <w:sz w:val="24"/>
                <w:szCs w:val="24"/>
              </w:rPr>
              <w:t>3.750%</w:t>
            </w:r>
          </w:p>
        </w:tc>
      </w:tr>
      <w:tr w:rsidR="000E6575" w:rsidRPr="00C656F9" w:rsidTr="001F469B">
        <w:trPr>
          <w:trHeight w:val="135"/>
        </w:trPr>
        <w:tc>
          <w:tcPr>
            <w:tcW w:w="1791" w:type="dxa"/>
            <w:vAlign w:val="bottom"/>
          </w:tcPr>
          <w:p w:rsidR="000E6575" w:rsidRPr="00C656F9" w:rsidRDefault="000E6575" w:rsidP="000E6575">
            <w:pPr>
              <w:widowControl w:val="0"/>
              <w:autoSpaceDE w:val="0"/>
              <w:autoSpaceDN w:val="0"/>
              <w:adjustRightInd w:val="0"/>
              <w:ind w:left="-90" w:right="-90"/>
              <w:rPr>
                <w:sz w:val="24"/>
                <w:szCs w:val="24"/>
              </w:rPr>
            </w:pPr>
            <w:r w:rsidRPr="00C656F9">
              <w:rPr>
                <w:sz w:val="24"/>
                <w:szCs w:val="24"/>
              </w:rPr>
              <w:t>Subgroup Total</w:t>
            </w:r>
          </w:p>
        </w:tc>
        <w:tc>
          <w:tcPr>
            <w:tcW w:w="1620" w:type="dxa"/>
            <w:vAlign w:val="bottom"/>
          </w:tcPr>
          <w:p w:rsidR="000E6575" w:rsidRPr="00C656F9" w:rsidRDefault="000E6575" w:rsidP="000E6575">
            <w:pPr>
              <w:widowControl w:val="0"/>
              <w:autoSpaceDE w:val="0"/>
              <w:autoSpaceDN w:val="0"/>
              <w:adjustRightInd w:val="0"/>
              <w:ind w:right="528"/>
              <w:jc w:val="right"/>
              <w:rPr>
                <w:sz w:val="24"/>
                <w:szCs w:val="24"/>
              </w:rPr>
            </w:pPr>
            <w:r w:rsidRPr="00C656F9">
              <w:rPr>
                <w:sz w:val="24"/>
                <w:szCs w:val="24"/>
              </w:rPr>
              <w:t>$1,000</w:t>
            </w:r>
          </w:p>
        </w:tc>
        <w:tc>
          <w:tcPr>
            <w:tcW w:w="1233" w:type="dxa"/>
            <w:vAlign w:val="bottom"/>
          </w:tcPr>
          <w:p w:rsidR="000E6575" w:rsidRPr="00C656F9" w:rsidRDefault="000E6575" w:rsidP="001F469B">
            <w:pPr>
              <w:widowControl w:val="0"/>
              <w:autoSpaceDE w:val="0"/>
              <w:autoSpaceDN w:val="0"/>
              <w:adjustRightInd w:val="0"/>
              <w:ind w:left="-108" w:right="305"/>
              <w:jc w:val="right"/>
              <w:rPr>
                <w:sz w:val="24"/>
                <w:szCs w:val="24"/>
              </w:rPr>
            </w:pPr>
            <w:r w:rsidRPr="00C656F9">
              <w:rPr>
                <w:sz w:val="24"/>
                <w:szCs w:val="24"/>
              </w:rPr>
              <w:t>$12.5</w:t>
            </w:r>
          </w:p>
        </w:tc>
        <w:tc>
          <w:tcPr>
            <w:tcW w:w="1572" w:type="dxa"/>
            <w:vAlign w:val="bottom"/>
          </w:tcPr>
          <w:p w:rsidR="000E6575" w:rsidRPr="00C656F9" w:rsidRDefault="000E6575" w:rsidP="001F469B">
            <w:pPr>
              <w:widowControl w:val="0"/>
              <w:autoSpaceDE w:val="0"/>
              <w:autoSpaceDN w:val="0"/>
              <w:adjustRightInd w:val="0"/>
              <w:ind w:left="-60" w:right="447"/>
              <w:jc w:val="right"/>
              <w:rPr>
                <w:sz w:val="24"/>
                <w:szCs w:val="24"/>
              </w:rPr>
            </w:pPr>
            <w:r w:rsidRPr="00C656F9">
              <w:rPr>
                <w:sz w:val="24"/>
                <w:szCs w:val="24"/>
              </w:rPr>
              <w:t>$200</w:t>
            </w:r>
          </w:p>
        </w:tc>
        <w:tc>
          <w:tcPr>
            <w:tcW w:w="1116" w:type="dxa"/>
            <w:vAlign w:val="bottom"/>
          </w:tcPr>
          <w:p w:rsidR="000E6575" w:rsidRPr="00C656F9" w:rsidRDefault="000E6575" w:rsidP="000E6575">
            <w:pPr>
              <w:widowControl w:val="0"/>
              <w:autoSpaceDE w:val="0"/>
              <w:autoSpaceDN w:val="0"/>
              <w:adjustRightInd w:val="0"/>
              <w:ind w:right="114"/>
              <w:jc w:val="right"/>
              <w:rPr>
                <w:sz w:val="24"/>
                <w:szCs w:val="24"/>
              </w:rPr>
            </w:pPr>
          </w:p>
        </w:tc>
      </w:tr>
      <w:tr w:rsidR="000E6575" w:rsidRPr="00C656F9" w:rsidTr="001F469B">
        <w:trPr>
          <w:trHeight w:val="432"/>
        </w:trPr>
        <w:tc>
          <w:tcPr>
            <w:tcW w:w="1791" w:type="dxa"/>
            <w:vAlign w:val="bottom"/>
          </w:tcPr>
          <w:p w:rsidR="000E6575" w:rsidRPr="00C656F9" w:rsidRDefault="000E6575" w:rsidP="00DF4BC4">
            <w:pPr>
              <w:widowControl w:val="0"/>
              <w:autoSpaceDE w:val="0"/>
              <w:autoSpaceDN w:val="0"/>
              <w:adjustRightInd w:val="0"/>
              <w:ind w:left="-90" w:right="-90"/>
              <w:rPr>
                <w:sz w:val="24"/>
                <w:szCs w:val="24"/>
              </w:rPr>
            </w:pPr>
            <w:r w:rsidRPr="00C656F9">
              <w:rPr>
                <w:sz w:val="24"/>
                <w:szCs w:val="24"/>
              </w:rPr>
              <w:t>Grand Total</w:t>
            </w:r>
          </w:p>
        </w:tc>
        <w:tc>
          <w:tcPr>
            <w:tcW w:w="1620" w:type="dxa"/>
            <w:vAlign w:val="bottom"/>
          </w:tcPr>
          <w:p w:rsidR="000E6575" w:rsidRPr="00C656F9" w:rsidRDefault="000E6575" w:rsidP="000E6575">
            <w:pPr>
              <w:widowControl w:val="0"/>
              <w:autoSpaceDE w:val="0"/>
              <w:autoSpaceDN w:val="0"/>
              <w:adjustRightInd w:val="0"/>
              <w:ind w:right="528"/>
              <w:jc w:val="right"/>
              <w:rPr>
                <w:sz w:val="24"/>
                <w:szCs w:val="24"/>
              </w:rPr>
            </w:pPr>
            <w:r w:rsidRPr="00C656F9">
              <w:rPr>
                <w:sz w:val="24"/>
                <w:szCs w:val="24"/>
              </w:rPr>
              <w:t>$2,000</w:t>
            </w:r>
          </w:p>
        </w:tc>
        <w:tc>
          <w:tcPr>
            <w:tcW w:w="1233" w:type="dxa"/>
            <w:vAlign w:val="bottom"/>
          </w:tcPr>
          <w:p w:rsidR="000E6575" w:rsidRPr="00C656F9" w:rsidRDefault="000E6575" w:rsidP="001F469B">
            <w:pPr>
              <w:widowControl w:val="0"/>
              <w:autoSpaceDE w:val="0"/>
              <w:autoSpaceDN w:val="0"/>
              <w:adjustRightInd w:val="0"/>
              <w:ind w:left="-108" w:right="305"/>
              <w:jc w:val="right"/>
              <w:rPr>
                <w:sz w:val="24"/>
                <w:szCs w:val="24"/>
              </w:rPr>
            </w:pPr>
          </w:p>
        </w:tc>
        <w:tc>
          <w:tcPr>
            <w:tcW w:w="1572" w:type="dxa"/>
            <w:vAlign w:val="bottom"/>
          </w:tcPr>
          <w:p w:rsidR="000E6575" w:rsidRPr="00C656F9" w:rsidRDefault="000E6575" w:rsidP="001F469B">
            <w:pPr>
              <w:widowControl w:val="0"/>
              <w:autoSpaceDE w:val="0"/>
              <w:autoSpaceDN w:val="0"/>
              <w:adjustRightInd w:val="0"/>
              <w:ind w:right="447"/>
              <w:jc w:val="right"/>
              <w:rPr>
                <w:sz w:val="24"/>
                <w:szCs w:val="24"/>
              </w:rPr>
            </w:pPr>
          </w:p>
        </w:tc>
        <w:tc>
          <w:tcPr>
            <w:tcW w:w="1116" w:type="dxa"/>
            <w:vAlign w:val="bottom"/>
          </w:tcPr>
          <w:p w:rsidR="000E6575" w:rsidRPr="00C656F9" w:rsidRDefault="000E6575" w:rsidP="00DF4BC4">
            <w:pPr>
              <w:widowControl w:val="0"/>
              <w:autoSpaceDE w:val="0"/>
              <w:autoSpaceDN w:val="0"/>
              <w:adjustRightInd w:val="0"/>
              <w:jc w:val="right"/>
              <w:rPr>
                <w:sz w:val="24"/>
                <w:szCs w:val="24"/>
              </w:rPr>
            </w:pPr>
          </w:p>
        </w:tc>
      </w:tr>
    </w:tbl>
    <w:p w:rsidR="000E6575" w:rsidRPr="00C656F9" w:rsidRDefault="000E6575" w:rsidP="00DE6F15">
      <w:pPr>
        <w:autoSpaceDE w:val="0"/>
        <w:autoSpaceDN w:val="0"/>
        <w:adjustRightInd w:val="0"/>
        <w:rPr>
          <w:sz w:val="24"/>
          <w:szCs w:val="24"/>
        </w:rPr>
      </w:pPr>
    </w:p>
    <w:p w:rsidR="00102D6B" w:rsidRDefault="00102D6B" w:rsidP="00DA54AE">
      <w:pPr>
        <w:autoSpaceDE w:val="0"/>
        <w:autoSpaceDN w:val="0"/>
        <w:adjustRightInd w:val="0"/>
        <w:ind w:left="2160"/>
        <w:rPr>
          <w:sz w:val="24"/>
          <w:szCs w:val="24"/>
        </w:rPr>
      </w:pPr>
      <w:r w:rsidRPr="00D10E55">
        <w:rPr>
          <w:sz w:val="24"/>
          <w:szCs w:val="24"/>
        </w:rPr>
        <w:t xml:space="preserve">Note that the everywhere sales of the insurance and transportation companies exceed the denominators of those companies' apportionment formulas because the denominators of insurance and transportation companies include only premiums and income from transportation services, respectively, while the everywhere sales of those companies include all gross business receipts of those companies, except amounts specifically excluded from the sales factor under Sections 100.3370 and </w:t>
      </w:r>
      <w:r w:rsidR="00241940">
        <w:rPr>
          <w:sz w:val="24"/>
          <w:szCs w:val="24"/>
        </w:rPr>
        <w:t>100.</w:t>
      </w:r>
      <w:r w:rsidRPr="00D10E55">
        <w:rPr>
          <w:sz w:val="24"/>
          <w:szCs w:val="24"/>
        </w:rPr>
        <w:t xml:space="preserve">3380. For example, interest, gross rental income and net gains or losses on sales of intangibles in the regular course of business are included in the sales factor, but not in the apportionment formulas used by </w:t>
      </w:r>
      <w:r w:rsidR="00E505A8">
        <w:rPr>
          <w:sz w:val="24"/>
          <w:szCs w:val="24"/>
        </w:rPr>
        <w:lastRenderedPageBreak/>
        <w:t>insurance or</w:t>
      </w:r>
      <w:r w:rsidRPr="00D10E55">
        <w:rPr>
          <w:sz w:val="24"/>
          <w:szCs w:val="24"/>
        </w:rPr>
        <w:t xml:space="preserve"> transportation companies, and so would cause the everywhere sales of an insurance or transportation company to exceed the denominator of its apportionment formula.</w:t>
      </w:r>
      <w:r>
        <w:rPr>
          <w:sz w:val="24"/>
          <w:szCs w:val="24"/>
        </w:rPr>
        <w:t xml:space="preserve"> </w:t>
      </w:r>
      <w:bookmarkStart w:id="0" w:name="_GoBack"/>
      <w:bookmarkEnd w:id="0"/>
      <w:r>
        <w:rPr>
          <w:sz w:val="24"/>
          <w:szCs w:val="24"/>
        </w:rPr>
        <w:t>The apportionment fraction of each member of the group and for the group is computed as follows:</w:t>
      </w:r>
    </w:p>
    <w:p w:rsidR="00102D6B" w:rsidRDefault="00102D6B" w:rsidP="00DE6F15">
      <w:pPr>
        <w:autoSpaceDE w:val="0"/>
        <w:autoSpaceDN w:val="0"/>
        <w:adjustRightInd w:val="0"/>
        <w:rPr>
          <w:sz w:val="24"/>
          <w:szCs w:val="24"/>
        </w:rPr>
      </w:pPr>
    </w:p>
    <w:tbl>
      <w:tblPr>
        <w:tblW w:w="7622" w:type="dxa"/>
        <w:tblInd w:w="1620" w:type="dxa"/>
        <w:tblLayout w:type="fixed"/>
        <w:tblLook w:val="0000" w:firstRow="0" w:lastRow="0" w:firstColumn="0" w:lastColumn="0" w:noHBand="0" w:noVBand="0"/>
      </w:tblPr>
      <w:tblGrid>
        <w:gridCol w:w="1800"/>
        <w:gridCol w:w="1476"/>
        <w:gridCol w:w="1329"/>
        <w:gridCol w:w="894"/>
        <w:gridCol w:w="1268"/>
        <w:gridCol w:w="855"/>
      </w:tblGrid>
      <w:tr w:rsidR="00DA54AE" w:rsidRPr="00C656F9" w:rsidTr="009616B5">
        <w:tc>
          <w:tcPr>
            <w:tcW w:w="1800" w:type="dxa"/>
            <w:vAlign w:val="bottom"/>
          </w:tcPr>
          <w:p w:rsidR="00DA54AE" w:rsidRPr="00C656F9" w:rsidRDefault="00DA54AE" w:rsidP="00DF4BC4">
            <w:pPr>
              <w:widowControl w:val="0"/>
              <w:autoSpaceDE w:val="0"/>
              <w:autoSpaceDN w:val="0"/>
              <w:adjustRightInd w:val="0"/>
              <w:ind w:left="-90" w:right="-90"/>
              <w:jc w:val="center"/>
              <w:rPr>
                <w:sz w:val="24"/>
                <w:szCs w:val="24"/>
              </w:rPr>
            </w:pPr>
          </w:p>
        </w:tc>
        <w:tc>
          <w:tcPr>
            <w:tcW w:w="1476" w:type="dxa"/>
          </w:tcPr>
          <w:p w:rsidR="00DA54AE" w:rsidRPr="00C656F9" w:rsidRDefault="00DA54AE" w:rsidP="00DF4BC4">
            <w:pPr>
              <w:widowControl w:val="0"/>
              <w:autoSpaceDE w:val="0"/>
              <w:autoSpaceDN w:val="0"/>
              <w:adjustRightInd w:val="0"/>
              <w:ind w:left="-117" w:right="-108"/>
              <w:jc w:val="center"/>
              <w:rPr>
                <w:sz w:val="24"/>
                <w:szCs w:val="24"/>
              </w:rPr>
            </w:pPr>
            <w:r w:rsidRPr="00C656F9">
              <w:rPr>
                <w:sz w:val="24"/>
                <w:szCs w:val="24"/>
              </w:rPr>
              <w:t>A</w:t>
            </w:r>
          </w:p>
        </w:tc>
        <w:tc>
          <w:tcPr>
            <w:tcW w:w="1329" w:type="dxa"/>
            <w:vAlign w:val="bottom"/>
          </w:tcPr>
          <w:p w:rsidR="00DA54AE" w:rsidRPr="00C656F9" w:rsidRDefault="00DA54AE" w:rsidP="00DF4BC4">
            <w:pPr>
              <w:widowControl w:val="0"/>
              <w:autoSpaceDE w:val="0"/>
              <w:autoSpaceDN w:val="0"/>
              <w:adjustRightInd w:val="0"/>
              <w:ind w:left="-117" w:right="-108"/>
              <w:jc w:val="center"/>
              <w:rPr>
                <w:sz w:val="24"/>
                <w:szCs w:val="24"/>
              </w:rPr>
            </w:pPr>
            <w:r w:rsidRPr="00C656F9">
              <w:rPr>
                <w:sz w:val="24"/>
                <w:szCs w:val="24"/>
              </w:rPr>
              <w:t>B</w:t>
            </w:r>
          </w:p>
        </w:tc>
        <w:tc>
          <w:tcPr>
            <w:tcW w:w="894" w:type="dxa"/>
            <w:vAlign w:val="bottom"/>
          </w:tcPr>
          <w:p w:rsidR="00DA54AE" w:rsidRPr="00C656F9" w:rsidRDefault="00DA54AE" w:rsidP="00DF4BC4">
            <w:pPr>
              <w:widowControl w:val="0"/>
              <w:autoSpaceDE w:val="0"/>
              <w:autoSpaceDN w:val="0"/>
              <w:adjustRightInd w:val="0"/>
              <w:ind w:left="-104" w:right="-90"/>
              <w:jc w:val="center"/>
              <w:rPr>
                <w:sz w:val="24"/>
                <w:szCs w:val="24"/>
              </w:rPr>
            </w:pPr>
            <w:r w:rsidRPr="00C656F9">
              <w:rPr>
                <w:sz w:val="24"/>
                <w:szCs w:val="24"/>
              </w:rPr>
              <w:t>C</w:t>
            </w:r>
          </w:p>
        </w:tc>
        <w:tc>
          <w:tcPr>
            <w:tcW w:w="1268" w:type="dxa"/>
            <w:vAlign w:val="bottom"/>
          </w:tcPr>
          <w:p w:rsidR="00DA54AE" w:rsidRPr="00C656F9" w:rsidRDefault="00DA54AE" w:rsidP="00DF4BC4">
            <w:pPr>
              <w:widowControl w:val="0"/>
              <w:autoSpaceDE w:val="0"/>
              <w:autoSpaceDN w:val="0"/>
              <w:adjustRightInd w:val="0"/>
              <w:ind w:left="-108" w:right="-108"/>
              <w:jc w:val="center"/>
              <w:rPr>
                <w:sz w:val="24"/>
                <w:szCs w:val="24"/>
              </w:rPr>
            </w:pPr>
            <w:r w:rsidRPr="00C656F9">
              <w:rPr>
                <w:sz w:val="24"/>
                <w:szCs w:val="24"/>
              </w:rPr>
              <w:t>D</w:t>
            </w:r>
          </w:p>
        </w:tc>
        <w:tc>
          <w:tcPr>
            <w:tcW w:w="855" w:type="dxa"/>
            <w:vAlign w:val="bottom"/>
          </w:tcPr>
          <w:p w:rsidR="00DA54AE" w:rsidRPr="00C656F9" w:rsidRDefault="00DA54AE" w:rsidP="00DF4BC4">
            <w:pPr>
              <w:widowControl w:val="0"/>
              <w:autoSpaceDE w:val="0"/>
              <w:autoSpaceDN w:val="0"/>
              <w:adjustRightInd w:val="0"/>
              <w:ind w:left="-101" w:right="-108"/>
              <w:jc w:val="center"/>
              <w:rPr>
                <w:sz w:val="24"/>
                <w:szCs w:val="24"/>
              </w:rPr>
            </w:pPr>
            <w:r w:rsidRPr="00C656F9">
              <w:rPr>
                <w:sz w:val="24"/>
                <w:szCs w:val="24"/>
              </w:rPr>
              <w:t>E</w:t>
            </w:r>
          </w:p>
        </w:tc>
      </w:tr>
      <w:tr w:rsidR="00DA54AE" w:rsidRPr="00C656F9" w:rsidTr="009616B5">
        <w:trPr>
          <w:trHeight w:val="801"/>
        </w:trPr>
        <w:tc>
          <w:tcPr>
            <w:tcW w:w="1800" w:type="dxa"/>
            <w:vAlign w:val="bottom"/>
          </w:tcPr>
          <w:p w:rsidR="00DA54AE" w:rsidRPr="00C656F9" w:rsidRDefault="00DA54AE" w:rsidP="00DF4BC4">
            <w:pPr>
              <w:widowControl w:val="0"/>
              <w:autoSpaceDE w:val="0"/>
              <w:autoSpaceDN w:val="0"/>
              <w:adjustRightInd w:val="0"/>
              <w:ind w:left="-90" w:right="-90"/>
              <w:jc w:val="center"/>
              <w:rPr>
                <w:sz w:val="24"/>
                <w:szCs w:val="24"/>
              </w:rPr>
            </w:pPr>
          </w:p>
        </w:tc>
        <w:tc>
          <w:tcPr>
            <w:tcW w:w="1476" w:type="dxa"/>
            <w:vAlign w:val="bottom"/>
          </w:tcPr>
          <w:p w:rsidR="00DA54AE" w:rsidRPr="00C656F9" w:rsidRDefault="00DA54AE" w:rsidP="00DF4BC4">
            <w:pPr>
              <w:widowControl w:val="0"/>
              <w:autoSpaceDE w:val="0"/>
              <w:autoSpaceDN w:val="0"/>
              <w:adjustRightInd w:val="0"/>
              <w:ind w:left="-117" w:right="-108"/>
              <w:jc w:val="center"/>
              <w:rPr>
                <w:sz w:val="24"/>
                <w:szCs w:val="24"/>
              </w:rPr>
            </w:pPr>
            <w:r w:rsidRPr="00C656F9">
              <w:rPr>
                <w:sz w:val="24"/>
                <w:szCs w:val="24"/>
              </w:rPr>
              <w:t>Section 304 Apportionment Percentage</w:t>
            </w:r>
          </w:p>
        </w:tc>
        <w:tc>
          <w:tcPr>
            <w:tcW w:w="1329" w:type="dxa"/>
            <w:vAlign w:val="bottom"/>
          </w:tcPr>
          <w:p w:rsidR="00F315F7" w:rsidRPr="00C656F9" w:rsidRDefault="00DA54AE" w:rsidP="00DF4BC4">
            <w:pPr>
              <w:widowControl w:val="0"/>
              <w:autoSpaceDE w:val="0"/>
              <w:autoSpaceDN w:val="0"/>
              <w:adjustRightInd w:val="0"/>
              <w:ind w:left="-117" w:right="-108"/>
              <w:jc w:val="center"/>
              <w:rPr>
                <w:sz w:val="24"/>
                <w:szCs w:val="24"/>
              </w:rPr>
            </w:pPr>
            <w:r w:rsidRPr="00C656F9">
              <w:rPr>
                <w:sz w:val="24"/>
                <w:szCs w:val="24"/>
              </w:rPr>
              <w:t xml:space="preserve">Subgroup Everywhere </w:t>
            </w:r>
          </w:p>
          <w:p w:rsidR="00DA54AE" w:rsidRPr="00C656F9" w:rsidRDefault="00DA54AE" w:rsidP="00DF4BC4">
            <w:pPr>
              <w:widowControl w:val="0"/>
              <w:autoSpaceDE w:val="0"/>
              <w:autoSpaceDN w:val="0"/>
              <w:adjustRightInd w:val="0"/>
              <w:ind w:left="-117" w:right="-108"/>
              <w:jc w:val="center"/>
              <w:rPr>
                <w:sz w:val="24"/>
                <w:szCs w:val="24"/>
              </w:rPr>
            </w:pPr>
            <w:r w:rsidRPr="00C656F9">
              <w:rPr>
                <w:sz w:val="24"/>
                <w:szCs w:val="24"/>
              </w:rPr>
              <w:t>Sales</w:t>
            </w:r>
          </w:p>
        </w:tc>
        <w:tc>
          <w:tcPr>
            <w:tcW w:w="894" w:type="dxa"/>
            <w:vAlign w:val="bottom"/>
          </w:tcPr>
          <w:p w:rsidR="00DA54AE" w:rsidRPr="00C656F9" w:rsidRDefault="00DA54AE" w:rsidP="00DF4BC4">
            <w:pPr>
              <w:widowControl w:val="0"/>
              <w:autoSpaceDE w:val="0"/>
              <w:autoSpaceDN w:val="0"/>
              <w:adjustRightInd w:val="0"/>
              <w:ind w:left="-104" w:right="-90"/>
              <w:jc w:val="center"/>
              <w:rPr>
                <w:sz w:val="24"/>
                <w:szCs w:val="24"/>
              </w:rPr>
            </w:pPr>
            <w:r w:rsidRPr="00C656F9">
              <w:rPr>
                <w:sz w:val="24"/>
                <w:szCs w:val="24"/>
              </w:rPr>
              <w:t>A * B</w:t>
            </w:r>
          </w:p>
        </w:tc>
        <w:tc>
          <w:tcPr>
            <w:tcW w:w="1268" w:type="dxa"/>
            <w:vAlign w:val="bottom"/>
          </w:tcPr>
          <w:p w:rsidR="00DA54AE" w:rsidRPr="00C656F9" w:rsidRDefault="00DA54AE" w:rsidP="00DF4BC4">
            <w:pPr>
              <w:widowControl w:val="0"/>
              <w:autoSpaceDE w:val="0"/>
              <w:autoSpaceDN w:val="0"/>
              <w:adjustRightInd w:val="0"/>
              <w:ind w:left="-108" w:right="-108"/>
              <w:jc w:val="center"/>
              <w:rPr>
                <w:sz w:val="24"/>
                <w:szCs w:val="24"/>
              </w:rPr>
            </w:pPr>
            <w:r w:rsidRPr="00C656F9">
              <w:rPr>
                <w:sz w:val="24"/>
                <w:szCs w:val="24"/>
              </w:rPr>
              <w:t>Group Everywhere Sales</w:t>
            </w:r>
          </w:p>
        </w:tc>
        <w:tc>
          <w:tcPr>
            <w:tcW w:w="855" w:type="dxa"/>
            <w:vAlign w:val="bottom"/>
          </w:tcPr>
          <w:p w:rsidR="00DA54AE" w:rsidRPr="00C656F9" w:rsidRDefault="00DA54AE" w:rsidP="00DF4BC4">
            <w:pPr>
              <w:widowControl w:val="0"/>
              <w:autoSpaceDE w:val="0"/>
              <w:autoSpaceDN w:val="0"/>
              <w:adjustRightInd w:val="0"/>
              <w:ind w:left="-101" w:right="-108"/>
              <w:jc w:val="center"/>
              <w:rPr>
                <w:sz w:val="24"/>
                <w:szCs w:val="24"/>
              </w:rPr>
            </w:pPr>
            <w:r w:rsidRPr="00C656F9">
              <w:rPr>
                <w:sz w:val="24"/>
                <w:szCs w:val="24"/>
              </w:rPr>
              <w:t>C ÷ D</w:t>
            </w:r>
          </w:p>
        </w:tc>
      </w:tr>
      <w:tr w:rsidR="00DA54AE" w:rsidRPr="00C656F9" w:rsidTr="009616B5">
        <w:trPr>
          <w:trHeight w:val="405"/>
        </w:trPr>
        <w:tc>
          <w:tcPr>
            <w:tcW w:w="1800" w:type="dxa"/>
            <w:vAlign w:val="bottom"/>
          </w:tcPr>
          <w:p w:rsidR="00DA54AE" w:rsidRPr="00C656F9" w:rsidRDefault="00DA54AE" w:rsidP="00DF4BC4">
            <w:pPr>
              <w:widowControl w:val="0"/>
              <w:autoSpaceDE w:val="0"/>
              <w:autoSpaceDN w:val="0"/>
              <w:adjustRightInd w:val="0"/>
              <w:ind w:left="-90" w:right="-90"/>
              <w:rPr>
                <w:sz w:val="24"/>
                <w:szCs w:val="24"/>
              </w:rPr>
            </w:pPr>
            <w:r w:rsidRPr="00C656F9">
              <w:rPr>
                <w:sz w:val="24"/>
                <w:szCs w:val="24"/>
              </w:rPr>
              <w:t>Corporation A</w:t>
            </w:r>
          </w:p>
        </w:tc>
        <w:tc>
          <w:tcPr>
            <w:tcW w:w="1476" w:type="dxa"/>
            <w:vAlign w:val="bottom"/>
          </w:tcPr>
          <w:p w:rsidR="00DA54AE" w:rsidRPr="00C656F9" w:rsidRDefault="00AF1D2F" w:rsidP="00F315F7">
            <w:pPr>
              <w:widowControl w:val="0"/>
              <w:autoSpaceDE w:val="0"/>
              <w:autoSpaceDN w:val="0"/>
              <w:adjustRightInd w:val="0"/>
              <w:ind w:left="-117" w:right="342"/>
              <w:jc w:val="right"/>
              <w:rPr>
                <w:sz w:val="24"/>
                <w:szCs w:val="24"/>
              </w:rPr>
            </w:pPr>
            <w:r w:rsidRPr="00C656F9">
              <w:rPr>
                <w:sz w:val="24"/>
                <w:szCs w:val="24"/>
              </w:rPr>
              <w:t>3</w:t>
            </w:r>
            <w:r w:rsidR="00DA54AE" w:rsidRPr="00C656F9">
              <w:rPr>
                <w:sz w:val="24"/>
                <w:szCs w:val="24"/>
              </w:rPr>
              <w:t>.</w:t>
            </w:r>
            <w:r w:rsidRPr="00C656F9">
              <w:rPr>
                <w:sz w:val="24"/>
                <w:szCs w:val="24"/>
              </w:rPr>
              <w:t>333</w:t>
            </w:r>
            <w:r w:rsidR="00DA54AE" w:rsidRPr="00C656F9">
              <w:rPr>
                <w:sz w:val="24"/>
                <w:szCs w:val="24"/>
              </w:rPr>
              <w:t>%</w:t>
            </w:r>
          </w:p>
        </w:tc>
        <w:tc>
          <w:tcPr>
            <w:tcW w:w="1329" w:type="dxa"/>
            <w:vAlign w:val="bottom"/>
          </w:tcPr>
          <w:p w:rsidR="00DA54AE" w:rsidRPr="00C656F9" w:rsidRDefault="00DA54AE" w:rsidP="00C853AB">
            <w:pPr>
              <w:widowControl w:val="0"/>
              <w:autoSpaceDE w:val="0"/>
              <w:autoSpaceDN w:val="0"/>
              <w:adjustRightInd w:val="0"/>
              <w:ind w:left="-117" w:right="-117"/>
              <w:jc w:val="center"/>
              <w:rPr>
                <w:sz w:val="24"/>
                <w:szCs w:val="24"/>
              </w:rPr>
            </w:pPr>
            <w:r w:rsidRPr="00C656F9">
              <w:rPr>
                <w:sz w:val="24"/>
                <w:szCs w:val="24"/>
              </w:rPr>
              <w:t>$</w:t>
            </w:r>
            <w:r w:rsidR="00AF1D2F" w:rsidRPr="00C656F9">
              <w:rPr>
                <w:sz w:val="24"/>
                <w:szCs w:val="24"/>
              </w:rPr>
              <w:t>3</w:t>
            </w:r>
            <w:r w:rsidRPr="00C656F9">
              <w:rPr>
                <w:sz w:val="24"/>
                <w:szCs w:val="24"/>
              </w:rPr>
              <w:t>00</w:t>
            </w:r>
          </w:p>
        </w:tc>
        <w:tc>
          <w:tcPr>
            <w:tcW w:w="894" w:type="dxa"/>
            <w:vAlign w:val="bottom"/>
          </w:tcPr>
          <w:p w:rsidR="00DA54AE" w:rsidRPr="00C656F9" w:rsidRDefault="00DA54AE" w:rsidP="00AF1D2F">
            <w:pPr>
              <w:widowControl w:val="0"/>
              <w:autoSpaceDE w:val="0"/>
              <w:autoSpaceDN w:val="0"/>
              <w:adjustRightInd w:val="0"/>
              <w:ind w:left="-104" w:right="-90"/>
              <w:jc w:val="center"/>
              <w:rPr>
                <w:sz w:val="24"/>
                <w:szCs w:val="24"/>
              </w:rPr>
            </w:pPr>
            <w:r w:rsidRPr="00C656F9">
              <w:rPr>
                <w:sz w:val="24"/>
                <w:szCs w:val="24"/>
              </w:rPr>
              <w:t>$1</w:t>
            </w:r>
            <w:r w:rsidR="00AF1D2F" w:rsidRPr="00C656F9">
              <w:rPr>
                <w:sz w:val="24"/>
                <w:szCs w:val="24"/>
              </w:rPr>
              <w:t>0</w:t>
            </w:r>
            <w:r w:rsidRPr="00C656F9">
              <w:rPr>
                <w:sz w:val="24"/>
                <w:szCs w:val="24"/>
              </w:rPr>
              <w:t>.00</w:t>
            </w:r>
          </w:p>
        </w:tc>
        <w:tc>
          <w:tcPr>
            <w:tcW w:w="1268" w:type="dxa"/>
            <w:vAlign w:val="bottom"/>
          </w:tcPr>
          <w:p w:rsidR="00DA54AE" w:rsidRPr="00C656F9" w:rsidRDefault="00DA54AE" w:rsidP="00AF1D2F">
            <w:pPr>
              <w:widowControl w:val="0"/>
              <w:autoSpaceDE w:val="0"/>
              <w:autoSpaceDN w:val="0"/>
              <w:adjustRightInd w:val="0"/>
              <w:ind w:left="-108" w:right="-108"/>
              <w:jc w:val="center"/>
              <w:rPr>
                <w:sz w:val="24"/>
                <w:szCs w:val="24"/>
              </w:rPr>
            </w:pPr>
            <w:r w:rsidRPr="00C656F9">
              <w:rPr>
                <w:sz w:val="24"/>
                <w:szCs w:val="24"/>
              </w:rPr>
              <w:t>$</w:t>
            </w:r>
            <w:r w:rsidR="00AF1D2F" w:rsidRPr="00C656F9">
              <w:rPr>
                <w:sz w:val="24"/>
                <w:szCs w:val="24"/>
              </w:rPr>
              <w:t>2,0</w:t>
            </w:r>
            <w:r w:rsidRPr="00C656F9">
              <w:rPr>
                <w:sz w:val="24"/>
                <w:szCs w:val="24"/>
              </w:rPr>
              <w:t>00</w:t>
            </w:r>
          </w:p>
        </w:tc>
        <w:tc>
          <w:tcPr>
            <w:tcW w:w="855" w:type="dxa"/>
            <w:vAlign w:val="bottom"/>
          </w:tcPr>
          <w:p w:rsidR="00DA54AE" w:rsidRPr="00C656F9" w:rsidRDefault="00AF1D2F" w:rsidP="00C853AB">
            <w:pPr>
              <w:widowControl w:val="0"/>
              <w:autoSpaceDE w:val="0"/>
              <w:autoSpaceDN w:val="0"/>
              <w:adjustRightInd w:val="0"/>
              <w:ind w:left="-101" w:right="-144"/>
              <w:jc w:val="center"/>
              <w:rPr>
                <w:sz w:val="24"/>
                <w:szCs w:val="24"/>
              </w:rPr>
            </w:pPr>
            <w:r w:rsidRPr="00C656F9">
              <w:rPr>
                <w:sz w:val="24"/>
                <w:szCs w:val="24"/>
              </w:rPr>
              <w:t>0</w:t>
            </w:r>
            <w:r w:rsidR="00DA54AE" w:rsidRPr="00C656F9">
              <w:rPr>
                <w:sz w:val="24"/>
                <w:szCs w:val="24"/>
              </w:rPr>
              <w:t>.</w:t>
            </w:r>
            <w:r w:rsidRPr="00C656F9">
              <w:rPr>
                <w:sz w:val="24"/>
                <w:szCs w:val="24"/>
              </w:rPr>
              <w:t>5</w:t>
            </w:r>
            <w:r w:rsidR="00DA54AE" w:rsidRPr="00C656F9">
              <w:rPr>
                <w:sz w:val="24"/>
                <w:szCs w:val="24"/>
              </w:rPr>
              <w:t>00%</w:t>
            </w:r>
          </w:p>
        </w:tc>
      </w:tr>
      <w:tr w:rsidR="00AF1D2F" w:rsidRPr="00C656F9" w:rsidTr="009616B5">
        <w:trPr>
          <w:trHeight w:val="180"/>
        </w:trPr>
        <w:tc>
          <w:tcPr>
            <w:tcW w:w="1800" w:type="dxa"/>
            <w:vAlign w:val="bottom"/>
          </w:tcPr>
          <w:p w:rsidR="00AF1D2F" w:rsidRPr="00C656F9" w:rsidRDefault="00AF1D2F" w:rsidP="00AF1D2F">
            <w:pPr>
              <w:widowControl w:val="0"/>
              <w:autoSpaceDE w:val="0"/>
              <w:autoSpaceDN w:val="0"/>
              <w:adjustRightInd w:val="0"/>
              <w:ind w:left="-90" w:right="-90"/>
              <w:rPr>
                <w:sz w:val="24"/>
                <w:szCs w:val="24"/>
              </w:rPr>
            </w:pPr>
            <w:r w:rsidRPr="00C656F9">
              <w:rPr>
                <w:sz w:val="24"/>
                <w:szCs w:val="24"/>
              </w:rPr>
              <w:t>Corporation B</w:t>
            </w:r>
          </w:p>
        </w:tc>
        <w:tc>
          <w:tcPr>
            <w:tcW w:w="1476" w:type="dxa"/>
            <w:vAlign w:val="bottom"/>
          </w:tcPr>
          <w:p w:rsidR="00AF1D2F" w:rsidRPr="00C656F9" w:rsidRDefault="00AF1D2F" w:rsidP="00F315F7">
            <w:pPr>
              <w:widowControl w:val="0"/>
              <w:autoSpaceDE w:val="0"/>
              <w:autoSpaceDN w:val="0"/>
              <w:adjustRightInd w:val="0"/>
              <w:ind w:left="-117" w:right="342"/>
              <w:jc w:val="right"/>
              <w:rPr>
                <w:sz w:val="24"/>
                <w:szCs w:val="24"/>
              </w:rPr>
            </w:pPr>
            <w:r w:rsidRPr="00C656F9">
              <w:rPr>
                <w:sz w:val="24"/>
                <w:szCs w:val="24"/>
              </w:rPr>
              <w:t>8.333%</w:t>
            </w:r>
          </w:p>
        </w:tc>
        <w:tc>
          <w:tcPr>
            <w:tcW w:w="1329" w:type="dxa"/>
            <w:vAlign w:val="bottom"/>
          </w:tcPr>
          <w:p w:rsidR="00AF1D2F" w:rsidRPr="00C656F9" w:rsidRDefault="00AF1D2F" w:rsidP="00C853AB">
            <w:pPr>
              <w:widowControl w:val="0"/>
              <w:autoSpaceDE w:val="0"/>
              <w:autoSpaceDN w:val="0"/>
              <w:adjustRightInd w:val="0"/>
              <w:ind w:left="-117" w:right="-117"/>
              <w:jc w:val="center"/>
              <w:rPr>
                <w:sz w:val="24"/>
                <w:szCs w:val="24"/>
              </w:rPr>
            </w:pPr>
            <w:r w:rsidRPr="00C656F9">
              <w:rPr>
                <w:sz w:val="24"/>
                <w:szCs w:val="24"/>
              </w:rPr>
              <w:t>$300</w:t>
            </w:r>
          </w:p>
        </w:tc>
        <w:tc>
          <w:tcPr>
            <w:tcW w:w="894" w:type="dxa"/>
            <w:vAlign w:val="bottom"/>
          </w:tcPr>
          <w:p w:rsidR="00AF1D2F" w:rsidRPr="00C656F9" w:rsidRDefault="00AF1D2F" w:rsidP="00C853AB">
            <w:pPr>
              <w:widowControl w:val="0"/>
              <w:autoSpaceDE w:val="0"/>
              <w:autoSpaceDN w:val="0"/>
              <w:adjustRightInd w:val="0"/>
              <w:ind w:left="-315" w:right="72"/>
              <w:jc w:val="right"/>
              <w:rPr>
                <w:sz w:val="24"/>
                <w:szCs w:val="24"/>
              </w:rPr>
            </w:pPr>
            <w:r w:rsidRPr="00C656F9">
              <w:rPr>
                <w:sz w:val="24"/>
                <w:szCs w:val="24"/>
              </w:rPr>
              <w:t>$25.00</w:t>
            </w:r>
          </w:p>
        </w:tc>
        <w:tc>
          <w:tcPr>
            <w:tcW w:w="1268" w:type="dxa"/>
          </w:tcPr>
          <w:p w:rsidR="00AF1D2F" w:rsidRPr="00C656F9" w:rsidRDefault="00AF1D2F" w:rsidP="00AF1D2F">
            <w:pPr>
              <w:widowControl w:val="0"/>
              <w:autoSpaceDE w:val="0"/>
              <w:autoSpaceDN w:val="0"/>
              <w:adjustRightInd w:val="0"/>
              <w:ind w:left="-108" w:right="-108"/>
              <w:jc w:val="center"/>
              <w:rPr>
                <w:sz w:val="24"/>
                <w:szCs w:val="24"/>
              </w:rPr>
            </w:pPr>
            <w:r w:rsidRPr="00C656F9">
              <w:rPr>
                <w:sz w:val="24"/>
                <w:szCs w:val="24"/>
              </w:rPr>
              <w:t>$2,000</w:t>
            </w:r>
          </w:p>
        </w:tc>
        <w:tc>
          <w:tcPr>
            <w:tcW w:w="855" w:type="dxa"/>
            <w:vAlign w:val="bottom"/>
          </w:tcPr>
          <w:p w:rsidR="00AF1D2F" w:rsidRPr="00C656F9" w:rsidRDefault="00AF1D2F" w:rsidP="00C853AB">
            <w:pPr>
              <w:widowControl w:val="0"/>
              <w:autoSpaceDE w:val="0"/>
              <w:autoSpaceDN w:val="0"/>
              <w:adjustRightInd w:val="0"/>
              <w:ind w:left="-101" w:right="-144"/>
              <w:jc w:val="center"/>
              <w:rPr>
                <w:sz w:val="24"/>
                <w:szCs w:val="24"/>
              </w:rPr>
            </w:pPr>
            <w:r w:rsidRPr="00C656F9">
              <w:rPr>
                <w:sz w:val="24"/>
                <w:szCs w:val="24"/>
              </w:rPr>
              <w:t>1.250%</w:t>
            </w:r>
          </w:p>
        </w:tc>
      </w:tr>
      <w:tr w:rsidR="00AF1D2F" w:rsidRPr="00C656F9" w:rsidTr="009616B5">
        <w:trPr>
          <w:trHeight w:val="135"/>
        </w:trPr>
        <w:tc>
          <w:tcPr>
            <w:tcW w:w="1800" w:type="dxa"/>
            <w:vAlign w:val="bottom"/>
          </w:tcPr>
          <w:p w:rsidR="00AF1D2F" w:rsidRPr="00C656F9" w:rsidRDefault="00AF1D2F" w:rsidP="00C853AB">
            <w:pPr>
              <w:widowControl w:val="0"/>
              <w:autoSpaceDE w:val="0"/>
              <w:autoSpaceDN w:val="0"/>
              <w:adjustRightInd w:val="0"/>
              <w:ind w:left="-72" w:right="-90"/>
              <w:rPr>
                <w:sz w:val="24"/>
                <w:szCs w:val="24"/>
              </w:rPr>
            </w:pPr>
            <w:r w:rsidRPr="00C656F9">
              <w:rPr>
                <w:sz w:val="24"/>
                <w:szCs w:val="24"/>
              </w:rPr>
              <w:t>Insurance A</w:t>
            </w:r>
          </w:p>
        </w:tc>
        <w:tc>
          <w:tcPr>
            <w:tcW w:w="1476" w:type="dxa"/>
            <w:vAlign w:val="bottom"/>
          </w:tcPr>
          <w:p w:rsidR="00AF1D2F" w:rsidRPr="00C656F9" w:rsidRDefault="00AF1D2F" w:rsidP="00F315F7">
            <w:pPr>
              <w:widowControl w:val="0"/>
              <w:autoSpaceDE w:val="0"/>
              <w:autoSpaceDN w:val="0"/>
              <w:adjustRightInd w:val="0"/>
              <w:ind w:left="-117" w:right="342"/>
              <w:jc w:val="right"/>
              <w:rPr>
                <w:sz w:val="24"/>
                <w:szCs w:val="24"/>
              </w:rPr>
            </w:pPr>
            <w:r w:rsidRPr="00C656F9">
              <w:rPr>
                <w:sz w:val="24"/>
                <w:szCs w:val="24"/>
              </w:rPr>
              <w:t>2.000%</w:t>
            </w:r>
          </w:p>
        </w:tc>
        <w:tc>
          <w:tcPr>
            <w:tcW w:w="1329" w:type="dxa"/>
            <w:vAlign w:val="bottom"/>
          </w:tcPr>
          <w:p w:rsidR="00AF1D2F" w:rsidRPr="00C656F9" w:rsidRDefault="00AF1D2F" w:rsidP="00C853AB">
            <w:pPr>
              <w:widowControl w:val="0"/>
              <w:autoSpaceDE w:val="0"/>
              <w:autoSpaceDN w:val="0"/>
              <w:adjustRightInd w:val="0"/>
              <w:ind w:left="-117" w:right="-117"/>
              <w:jc w:val="center"/>
              <w:rPr>
                <w:sz w:val="24"/>
                <w:szCs w:val="24"/>
              </w:rPr>
            </w:pPr>
            <w:r w:rsidRPr="00C656F9">
              <w:rPr>
                <w:sz w:val="24"/>
                <w:szCs w:val="24"/>
              </w:rPr>
              <w:t>$700</w:t>
            </w:r>
          </w:p>
        </w:tc>
        <w:tc>
          <w:tcPr>
            <w:tcW w:w="894" w:type="dxa"/>
            <w:vAlign w:val="bottom"/>
          </w:tcPr>
          <w:p w:rsidR="00AF1D2F" w:rsidRPr="00C656F9" w:rsidRDefault="00AF1D2F" w:rsidP="00C853AB">
            <w:pPr>
              <w:widowControl w:val="0"/>
              <w:autoSpaceDE w:val="0"/>
              <w:autoSpaceDN w:val="0"/>
              <w:adjustRightInd w:val="0"/>
              <w:ind w:left="-315" w:right="72"/>
              <w:jc w:val="right"/>
              <w:rPr>
                <w:sz w:val="24"/>
                <w:szCs w:val="24"/>
              </w:rPr>
            </w:pPr>
            <w:r w:rsidRPr="00C656F9">
              <w:rPr>
                <w:sz w:val="24"/>
                <w:szCs w:val="24"/>
              </w:rPr>
              <w:t>$14.00</w:t>
            </w:r>
          </w:p>
        </w:tc>
        <w:tc>
          <w:tcPr>
            <w:tcW w:w="1268" w:type="dxa"/>
          </w:tcPr>
          <w:p w:rsidR="00AF1D2F" w:rsidRPr="00C656F9" w:rsidRDefault="00AF1D2F" w:rsidP="00AF1D2F">
            <w:pPr>
              <w:widowControl w:val="0"/>
              <w:autoSpaceDE w:val="0"/>
              <w:autoSpaceDN w:val="0"/>
              <w:adjustRightInd w:val="0"/>
              <w:ind w:left="-108" w:right="-108"/>
              <w:jc w:val="center"/>
              <w:rPr>
                <w:sz w:val="24"/>
                <w:szCs w:val="24"/>
              </w:rPr>
            </w:pPr>
            <w:r w:rsidRPr="00C656F9">
              <w:rPr>
                <w:sz w:val="24"/>
                <w:szCs w:val="24"/>
              </w:rPr>
              <w:t>$2,000</w:t>
            </w:r>
          </w:p>
        </w:tc>
        <w:tc>
          <w:tcPr>
            <w:tcW w:w="855" w:type="dxa"/>
            <w:vAlign w:val="bottom"/>
          </w:tcPr>
          <w:p w:rsidR="00AF1D2F" w:rsidRPr="00C656F9" w:rsidRDefault="00AF1D2F" w:rsidP="00C853AB">
            <w:pPr>
              <w:widowControl w:val="0"/>
              <w:autoSpaceDE w:val="0"/>
              <w:autoSpaceDN w:val="0"/>
              <w:adjustRightInd w:val="0"/>
              <w:ind w:left="-101" w:right="-144"/>
              <w:jc w:val="center"/>
              <w:rPr>
                <w:sz w:val="24"/>
                <w:szCs w:val="24"/>
              </w:rPr>
            </w:pPr>
            <w:r w:rsidRPr="00C656F9">
              <w:rPr>
                <w:sz w:val="24"/>
                <w:szCs w:val="24"/>
              </w:rPr>
              <w:t>0.700%</w:t>
            </w:r>
          </w:p>
        </w:tc>
      </w:tr>
      <w:tr w:rsidR="00AF1D2F" w:rsidRPr="00C656F9" w:rsidTr="009616B5">
        <w:trPr>
          <w:trHeight w:val="81"/>
        </w:trPr>
        <w:tc>
          <w:tcPr>
            <w:tcW w:w="1800" w:type="dxa"/>
            <w:vAlign w:val="bottom"/>
          </w:tcPr>
          <w:p w:rsidR="00AF1D2F" w:rsidRPr="00C656F9" w:rsidRDefault="00AF1D2F" w:rsidP="00C853AB">
            <w:pPr>
              <w:widowControl w:val="0"/>
              <w:autoSpaceDE w:val="0"/>
              <w:autoSpaceDN w:val="0"/>
              <w:adjustRightInd w:val="0"/>
              <w:ind w:left="-72" w:right="-90"/>
              <w:rPr>
                <w:sz w:val="24"/>
                <w:szCs w:val="24"/>
              </w:rPr>
            </w:pPr>
            <w:r w:rsidRPr="00C656F9">
              <w:rPr>
                <w:sz w:val="24"/>
                <w:szCs w:val="24"/>
              </w:rPr>
              <w:t>Insurance B</w:t>
            </w:r>
          </w:p>
        </w:tc>
        <w:tc>
          <w:tcPr>
            <w:tcW w:w="1476" w:type="dxa"/>
            <w:vAlign w:val="bottom"/>
          </w:tcPr>
          <w:p w:rsidR="00AF1D2F" w:rsidRPr="00C656F9" w:rsidRDefault="00AF1D2F" w:rsidP="00F315F7">
            <w:pPr>
              <w:widowControl w:val="0"/>
              <w:autoSpaceDE w:val="0"/>
              <w:autoSpaceDN w:val="0"/>
              <w:adjustRightInd w:val="0"/>
              <w:ind w:left="-117" w:right="342"/>
              <w:jc w:val="right"/>
              <w:rPr>
                <w:sz w:val="24"/>
                <w:szCs w:val="24"/>
              </w:rPr>
            </w:pPr>
            <w:r w:rsidRPr="00C656F9">
              <w:rPr>
                <w:sz w:val="24"/>
                <w:szCs w:val="24"/>
              </w:rPr>
              <w:t>4.000%</w:t>
            </w:r>
          </w:p>
        </w:tc>
        <w:tc>
          <w:tcPr>
            <w:tcW w:w="1329" w:type="dxa"/>
            <w:vAlign w:val="bottom"/>
          </w:tcPr>
          <w:p w:rsidR="00AF1D2F" w:rsidRPr="00C656F9" w:rsidRDefault="00AF1D2F" w:rsidP="00C853AB">
            <w:pPr>
              <w:widowControl w:val="0"/>
              <w:autoSpaceDE w:val="0"/>
              <w:autoSpaceDN w:val="0"/>
              <w:adjustRightInd w:val="0"/>
              <w:ind w:left="-117" w:right="-117"/>
              <w:jc w:val="center"/>
              <w:rPr>
                <w:sz w:val="24"/>
                <w:szCs w:val="24"/>
              </w:rPr>
            </w:pPr>
            <w:r w:rsidRPr="00C656F9">
              <w:rPr>
                <w:sz w:val="24"/>
                <w:szCs w:val="24"/>
              </w:rPr>
              <w:t>$700</w:t>
            </w:r>
          </w:p>
        </w:tc>
        <w:tc>
          <w:tcPr>
            <w:tcW w:w="894" w:type="dxa"/>
            <w:vAlign w:val="bottom"/>
          </w:tcPr>
          <w:p w:rsidR="00AF1D2F" w:rsidRPr="00C656F9" w:rsidRDefault="00AF1D2F" w:rsidP="00C853AB">
            <w:pPr>
              <w:widowControl w:val="0"/>
              <w:autoSpaceDE w:val="0"/>
              <w:autoSpaceDN w:val="0"/>
              <w:adjustRightInd w:val="0"/>
              <w:ind w:left="-315" w:right="72"/>
              <w:jc w:val="right"/>
              <w:rPr>
                <w:sz w:val="24"/>
                <w:szCs w:val="24"/>
              </w:rPr>
            </w:pPr>
            <w:r w:rsidRPr="00C656F9">
              <w:rPr>
                <w:sz w:val="24"/>
                <w:szCs w:val="24"/>
              </w:rPr>
              <w:t>$28.00</w:t>
            </w:r>
          </w:p>
        </w:tc>
        <w:tc>
          <w:tcPr>
            <w:tcW w:w="1268" w:type="dxa"/>
          </w:tcPr>
          <w:p w:rsidR="00AF1D2F" w:rsidRPr="00C656F9" w:rsidRDefault="00AF1D2F" w:rsidP="00AF1D2F">
            <w:pPr>
              <w:widowControl w:val="0"/>
              <w:autoSpaceDE w:val="0"/>
              <w:autoSpaceDN w:val="0"/>
              <w:adjustRightInd w:val="0"/>
              <w:ind w:left="-108" w:right="-108"/>
              <w:jc w:val="center"/>
              <w:rPr>
                <w:sz w:val="24"/>
                <w:szCs w:val="24"/>
              </w:rPr>
            </w:pPr>
            <w:r w:rsidRPr="00C656F9">
              <w:rPr>
                <w:sz w:val="24"/>
                <w:szCs w:val="24"/>
              </w:rPr>
              <w:t>$2,000</w:t>
            </w:r>
          </w:p>
        </w:tc>
        <w:tc>
          <w:tcPr>
            <w:tcW w:w="855" w:type="dxa"/>
            <w:vAlign w:val="bottom"/>
          </w:tcPr>
          <w:p w:rsidR="00AF1D2F" w:rsidRPr="00C656F9" w:rsidRDefault="00AF1D2F" w:rsidP="00C853AB">
            <w:pPr>
              <w:widowControl w:val="0"/>
              <w:autoSpaceDE w:val="0"/>
              <w:autoSpaceDN w:val="0"/>
              <w:adjustRightInd w:val="0"/>
              <w:ind w:left="-101" w:right="-144"/>
              <w:jc w:val="center"/>
              <w:rPr>
                <w:sz w:val="24"/>
                <w:szCs w:val="24"/>
              </w:rPr>
            </w:pPr>
            <w:r w:rsidRPr="00C656F9">
              <w:rPr>
                <w:sz w:val="24"/>
                <w:szCs w:val="24"/>
              </w:rPr>
              <w:t>1.400%</w:t>
            </w:r>
          </w:p>
        </w:tc>
      </w:tr>
      <w:tr w:rsidR="00AF1D2F" w:rsidRPr="00C656F9" w:rsidTr="009616B5">
        <w:trPr>
          <w:trHeight w:val="47"/>
        </w:trPr>
        <w:tc>
          <w:tcPr>
            <w:tcW w:w="1800" w:type="dxa"/>
            <w:vAlign w:val="bottom"/>
          </w:tcPr>
          <w:p w:rsidR="00AF1D2F" w:rsidRPr="00C656F9" w:rsidRDefault="00AF1D2F" w:rsidP="00C853AB">
            <w:pPr>
              <w:widowControl w:val="0"/>
              <w:autoSpaceDE w:val="0"/>
              <w:autoSpaceDN w:val="0"/>
              <w:adjustRightInd w:val="0"/>
              <w:ind w:left="-72" w:right="-90"/>
              <w:rPr>
                <w:sz w:val="24"/>
                <w:szCs w:val="24"/>
              </w:rPr>
            </w:pPr>
            <w:r w:rsidRPr="00C656F9">
              <w:rPr>
                <w:sz w:val="24"/>
                <w:szCs w:val="24"/>
              </w:rPr>
              <w:t>Transportation A</w:t>
            </w:r>
          </w:p>
        </w:tc>
        <w:tc>
          <w:tcPr>
            <w:tcW w:w="1476" w:type="dxa"/>
            <w:vAlign w:val="bottom"/>
          </w:tcPr>
          <w:p w:rsidR="00AF1D2F" w:rsidRPr="00C656F9" w:rsidRDefault="00AF1D2F" w:rsidP="00F315F7">
            <w:pPr>
              <w:widowControl w:val="0"/>
              <w:autoSpaceDE w:val="0"/>
              <w:autoSpaceDN w:val="0"/>
              <w:adjustRightInd w:val="0"/>
              <w:ind w:left="-117" w:right="342"/>
              <w:jc w:val="right"/>
              <w:rPr>
                <w:sz w:val="24"/>
                <w:szCs w:val="24"/>
              </w:rPr>
            </w:pPr>
            <w:r w:rsidRPr="00C656F9">
              <w:rPr>
                <w:sz w:val="24"/>
                <w:szCs w:val="24"/>
              </w:rPr>
              <w:t>2.500%</w:t>
            </w:r>
          </w:p>
        </w:tc>
        <w:tc>
          <w:tcPr>
            <w:tcW w:w="1329" w:type="dxa"/>
            <w:vAlign w:val="bottom"/>
          </w:tcPr>
          <w:p w:rsidR="00AF1D2F" w:rsidRPr="00C656F9" w:rsidRDefault="00AF1D2F" w:rsidP="00C853AB">
            <w:pPr>
              <w:widowControl w:val="0"/>
              <w:autoSpaceDE w:val="0"/>
              <w:autoSpaceDN w:val="0"/>
              <w:adjustRightInd w:val="0"/>
              <w:ind w:left="-117" w:right="-117"/>
              <w:jc w:val="center"/>
              <w:rPr>
                <w:sz w:val="24"/>
                <w:szCs w:val="24"/>
              </w:rPr>
            </w:pPr>
            <w:r w:rsidRPr="00C656F9">
              <w:rPr>
                <w:sz w:val="24"/>
                <w:szCs w:val="24"/>
              </w:rPr>
              <w:t>$1,000</w:t>
            </w:r>
          </w:p>
        </w:tc>
        <w:tc>
          <w:tcPr>
            <w:tcW w:w="894" w:type="dxa"/>
            <w:vAlign w:val="bottom"/>
          </w:tcPr>
          <w:p w:rsidR="00AF1D2F" w:rsidRPr="00C656F9" w:rsidRDefault="00AF1D2F" w:rsidP="00C853AB">
            <w:pPr>
              <w:widowControl w:val="0"/>
              <w:autoSpaceDE w:val="0"/>
              <w:autoSpaceDN w:val="0"/>
              <w:adjustRightInd w:val="0"/>
              <w:ind w:left="-315" w:right="72"/>
              <w:jc w:val="right"/>
              <w:rPr>
                <w:sz w:val="24"/>
                <w:szCs w:val="24"/>
              </w:rPr>
            </w:pPr>
            <w:r w:rsidRPr="00C656F9">
              <w:rPr>
                <w:sz w:val="24"/>
                <w:szCs w:val="24"/>
              </w:rPr>
              <w:t>$25.00</w:t>
            </w:r>
          </w:p>
        </w:tc>
        <w:tc>
          <w:tcPr>
            <w:tcW w:w="1268" w:type="dxa"/>
          </w:tcPr>
          <w:p w:rsidR="00AF1D2F" w:rsidRPr="00C656F9" w:rsidRDefault="00AF1D2F" w:rsidP="00AF1D2F">
            <w:pPr>
              <w:widowControl w:val="0"/>
              <w:autoSpaceDE w:val="0"/>
              <w:autoSpaceDN w:val="0"/>
              <w:adjustRightInd w:val="0"/>
              <w:ind w:left="-108" w:right="-108"/>
              <w:jc w:val="center"/>
              <w:rPr>
                <w:sz w:val="24"/>
                <w:szCs w:val="24"/>
              </w:rPr>
            </w:pPr>
            <w:r w:rsidRPr="00C656F9">
              <w:rPr>
                <w:sz w:val="24"/>
                <w:szCs w:val="24"/>
              </w:rPr>
              <w:t>$2,000</w:t>
            </w:r>
          </w:p>
        </w:tc>
        <w:tc>
          <w:tcPr>
            <w:tcW w:w="855" w:type="dxa"/>
            <w:vAlign w:val="bottom"/>
          </w:tcPr>
          <w:p w:rsidR="00AF1D2F" w:rsidRPr="00C656F9" w:rsidRDefault="00AF1D2F" w:rsidP="00C853AB">
            <w:pPr>
              <w:widowControl w:val="0"/>
              <w:autoSpaceDE w:val="0"/>
              <w:autoSpaceDN w:val="0"/>
              <w:adjustRightInd w:val="0"/>
              <w:ind w:left="-101" w:right="-144"/>
              <w:jc w:val="center"/>
              <w:rPr>
                <w:sz w:val="24"/>
                <w:szCs w:val="24"/>
              </w:rPr>
            </w:pPr>
            <w:r w:rsidRPr="00C656F9">
              <w:rPr>
                <w:sz w:val="24"/>
                <w:szCs w:val="24"/>
              </w:rPr>
              <w:t>1.250%</w:t>
            </w:r>
          </w:p>
        </w:tc>
      </w:tr>
      <w:tr w:rsidR="00AF1D2F" w:rsidRPr="00C656F9" w:rsidTr="009616B5">
        <w:trPr>
          <w:trHeight w:val="72"/>
        </w:trPr>
        <w:tc>
          <w:tcPr>
            <w:tcW w:w="1800" w:type="dxa"/>
            <w:vAlign w:val="bottom"/>
          </w:tcPr>
          <w:p w:rsidR="00AF1D2F" w:rsidRPr="00C656F9" w:rsidRDefault="00AF1D2F" w:rsidP="00C853AB">
            <w:pPr>
              <w:widowControl w:val="0"/>
              <w:autoSpaceDE w:val="0"/>
              <w:autoSpaceDN w:val="0"/>
              <w:adjustRightInd w:val="0"/>
              <w:ind w:left="-72" w:right="-90"/>
              <w:rPr>
                <w:sz w:val="24"/>
                <w:szCs w:val="24"/>
              </w:rPr>
            </w:pPr>
            <w:r w:rsidRPr="00C656F9">
              <w:rPr>
                <w:sz w:val="24"/>
                <w:szCs w:val="24"/>
              </w:rPr>
              <w:t>Transportation B</w:t>
            </w:r>
          </w:p>
        </w:tc>
        <w:tc>
          <w:tcPr>
            <w:tcW w:w="1476" w:type="dxa"/>
            <w:vAlign w:val="bottom"/>
          </w:tcPr>
          <w:p w:rsidR="00AF1D2F" w:rsidRPr="00C656F9" w:rsidRDefault="00AF1D2F" w:rsidP="00F315F7">
            <w:pPr>
              <w:widowControl w:val="0"/>
              <w:autoSpaceDE w:val="0"/>
              <w:autoSpaceDN w:val="0"/>
              <w:adjustRightInd w:val="0"/>
              <w:ind w:left="-117" w:right="342"/>
              <w:jc w:val="right"/>
              <w:rPr>
                <w:sz w:val="24"/>
                <w:szCs w:val="24"/>
              </w:rPr>
            </w:pPr>
            <w:r w:rsidRPr="00C656F9">
              <w:rPr>
                <w:sz w:val="24"/>
                <w:szCs w:val="24"/>
              </w:rPr>
              <w:t>3.750%</w:t>
            </w:r>
          </w:p>
        </w:tc>
        <w:tc>
          <w:tcPr>
            <w:tcW w:w="1329" w:type="dxa"/>
            <w:vAlign w:val="bottom"/>
          </w:tcPr>
          <w:p w:rsidR="00AF1D2F" w:rsidRPr="00C656F9" w:rsidRDefault="00AF1D2F" w:rsidP="00C853AB">
            <w:pPr>
              <w:widowControl w:val="0"/>
              <w:autoSpaceDE w:val="0"/>
              <w:autoSpaceDN w:val="0"/>
              <w:adjustRightInd w:val="0"/>
              <w:ind w:left="-117" w:right="-117"/>
              <w:jc w:val="center"/>
              <w:rPr>
                <w:sz w:val="24"/>
                <w:szCs w:val="24"/>
              </w:rPr>
            </w:pPr>
            <w:r w:rsidRPr="00C656F9">
              <w:rPr>
                <w:sz w:val="24"/>
                <w:szCs w:val="24"/>
              </w:rPr>
              <w:t>$1,000</w:t>
            </w:r>
          </w:p>
        </w:tc>
        <w:tc>
          <w:tcPr>
            <w:tcW w:w="894" w:type="dxa"/>
            <w:vAlign w:val="bottom"/>
          </w:tcPr>
          <w:p w:rsidR="00AF1D2F" w:rsidRPr="00C656F9" w:rsidRDefault="00AF1D2F" w:rsidP="00C853AB">
            <w:pPr>
              <w:widowControl w:val="0"/>
              <w:autoSpaceDE w:val="0"/>
              <w:autoSpaceDN w:val="0"/>
              <w:adjustRightInd w:val="0"/>
              <w:ind w:left="-315" w:right="72"/>
              <w:jc w:val="right"/>
              <w:rPr>
                <w:sz w:val="24"/>
                <w:szCs w:val="24"/>
              </w:rPr>
            </w:pPr>
            <w:r w:rsidRPr="00C656F9">
              <w:rPr>
                <w:sz w:val="24"/>
                <w:szCs w:val="24"/>
              </w:rPr>
              <w:t>$37.50</w:t>
            </w:r>
          </w:p>
        </w:tc>
        <w:tc>
          <w:tcPr>
            <w:tcW w:w="1268" w:type="dxa"/>
          </w:tcPr>
          <w:p w:rsidR="00AF1D2F" w:rsidRPr="00C656F9" w:rsidRDefault="00AF1D2F" w:rsidP="00AF1D2F">
            <w:pPr>
              <w:widowControl w:val="0"/>
              <w:autoSpaceDE w:val="0"/>
              <w:autoSpaceDN w:val="0"/>
              <w:adjustRightInd w:val="0"/>
              <w:ind w:left="-108" w:right="-108"/>
              <w:jc w:val="center"/>
              <w:rPr>
                <w:sz w:val="24"/>
                <w:szCs w:val="24"/>
              </w:rPr>
            </w:pPr>
            <w:r w:rsidRPr="00C656F9">
              <w:rPr>
                <w:sz w:val="24"/>
                <w:szCs w:val="24"/>
              </w:rPr>
              <w:t>$2,000</w:t>
            </w:r>
          </w:p>
        </w:tc>
        <w:tc>
          <w:tcPr>
            <w:tcW w:w="855" w:type="dxa"/>
            <w:vAlign w:val="bottom"/>
          </w:tcPr>
          <w:p w:rsidR="00AF1D2F" w:rsidRPr="00C656F9" w:rsidRDefault="00AF1D2F" w:rsidP="00C853AB">
            <w:pPr>
              <w:widowControl w:val="0"/>
              <w:autoSpaceDE w:val="0"/>
              <w:autoSpaceDN w:val="0"/>
              <w:adjustRightInd w:val="0"/>
              <w:ind w:left="-101" w:right="-144"/>
              <w:jc w:val="center"/>
              <w:rPr>
                <w:sz w:val="24"/>
                <w:szCs w:val="24"/>
              </w:rPr>
            </w:pPr>
            <w:r w:rsidRPr="00C656F9">
              <w:rPr>
                <w:sz w:val="24"/>
                <w:szCs w:val="24"/>
              </w:rPr>
              <w:t>1.875%</w:t>
            </w:r>
          </w:p>
        </w:tc>
      </w:tr>
      <w:tr w:rsidR="00AF1D2F" w:rsidRPr="00C656F9" w:rsidTr="009616B5">
        <w:trPr>
          <w:trHeight w:val="432"/>
        </w:trPr>
        <w:tc>
          <w:tcPr>
            <w:tcW w:w="1800" w:type="dxa"/>
            <w:vAlign w:val="bottom"/>
          </w:tcPr>
          <w:p w:rsidR="00AF1D2F" w:rsidRPr="00C656F9" w:rsidRDefault="00AF1D2F" w:rsidP="00C853AB">
            <w:pPr>
              <w:widowControl w:val="0"/>
              <w:autoSpaceDE w:val="0"/>
              <w:autoSpaceDN w:val="0"/>
              <w:adjustRightInd w:val="0"/>
              <w:ind w:left="-72" w:right="-90"/>
              <w:rPr>
                <w:sz w:val="24"/>
                <w:szCs w:val="24"/>
              </w:rPr>
            </w:pPr>
            <w:r w:rsidRPr="00C656F9">
              <w:rPr>
                <w:sz w:val="24"/>
                <w:szCs w:val="24"/>
              </w:rPr>
              <w:t>Total</w:t>
            </w:r>
          </w:p>
        </w:tc>
        <w:tc>
          <w:tcPr>
            <w:tcW w:w="1476" w:type="dxa"/>
            <w:vAlign w:val="bottom"/>
          </w:tcPr>
          <w:p w:rsidR="00AF1D2F" w:rsidRPr="00C656F9" w:rsidRDefault="00AF1D2F" w:rsidP="00AF1D2F">
            <w:pPr>
              <w:widowControl w:val="0"/>
              <w:autoSpaceDE w:val="0"/>
              <w:autoSpaceDN w:val="0"/>
              <w:adjustRightInd w:val="0"/>
              <w:ind w:left="-117" w:right="528"/>
              <w:jc w:val="right"/>
              <w:rPr>
                <w:sz w:val="24"/>
                <w:szCs w:val="24"/>
              </w:rPr>
            </w:pPr>
          </w:p>
        </w:tc>
        <w:tc>
          <w:tcPr>
            <w:tcW w:w="1329" w:type="dxa"/>
            <w:vAlign w:val="bottom"/>
          </w:tcPr>
          <w:p w:rsidR="00AF1D2F" w:rsidRPr="00C656F9" w:rsidRDefault="00AF1D2F" w:rsidP="00AF1D2F">
            <w:pPr>
              <w:widowControl w:val="0"/>
              <w:autoSpaceDE w:val="0"/>
              <w:autoSpaceDN w:val="0"/>
              <w:adjustRightInd w:val="0"/>
              <w:ind w:left="-117" w:right="528"/>
              <w:jc w:val="center"/>
              <w:rPr>
                <w:sz w:val="24"/>
                <w:szCs w:val="24"/>
              </w:rPr>
            </w:pPr>
          </w:p>
        </w:tc>
        <w:tc>
          <w:tcPr>
            <w:tcW w:w="894" w:type="dxa"/>
            <w:vAlign w:val="bottom"/>
          </w:tcPr>
          <w:p w:rsidR="00AF1D2F" w:rsidRPr="00C656F9" w:rsidRDefault="00AF1D2F" w:rsidP="00AF1D2F">
            <w:pPr>
              <w:widowControl w:val="0"/>
              <w:autoSpaceDE w:val="0"/>
              <w:autoSpaceDN w:val="0"/>
              <w:adjustRightInd w:val="0"/>
              <w:ind w:left="-104" w:right="-90"/>
              <w:jc w:val="right"/>
              <w:rPr>
                <w:sz w:val="24"/>
                <w:szCs w:val="24"/>
              </w:rPr>
            </w:pPr>
          </w:p>
        </w:tc>
        <w:tc>
          <w:tcPr>
            <w:tcW w:w="1268" w:type="dxa"/>
            <w:vAlign w:val="bottom"/>
          </w:tcPr>
          <w:p w:rsidR="00AF1D2F" w:rsidRPr="00C656F9" w:rsidRDefault="00AF1D2F" w:rsidP="00AF1D2F">
            <w:pPr>
              <w:widowControl w:val="0"/>
              <w:autoSpaceDE w:val="0"/>
              <w:autoSpaceDN w:val="0"/>
              <w:adjustRightInd w:val="0"/>
              <w:ind w:left="-108" w:right="-108"/>
              <w:jc w:val="center"/>
              <w:rPr>
                <w:sz w:val="24"/>
                <w:szCs w:val="24"/>
              </w:rPr>
            </w:pPr>
          </w:p>
        </w:tc>
        <w:tc>
          <w:tcPr>
            <w:tcW w:w="855" w:type="dxa"/>
            <w:vAlign w:val="bottom"/>
          </w:tcPr>
          <w:p w:rsidR="00AF1D2F" w:rsidRPr="00C656F9" w:rsidRDefault="00AF1D2F" w:rsidP="00C853AB">
            <w:pPr>
              <w:widowControl w:val="0"/>
              <w:autoSpaceDE w:val="0"/>
              <w:autoSpaceDN w:val="0"/>
              <w:adjustRightInd w:val="0"/>
              <w:ind w:left="-101" w:right="-144"/>
              <w:jc w:val="center"/>
              <w:rPr>
                <w:sz w:val="24"/>
                <w:szCs w:val="24"/>
              </w:rPr>
            </w:pPr>
            <w:r w:rsidRPr="00C656F9">
              <w:rPr>
                <w:sz w:val="24"/>
                <w:szCs w:val="24"/>
              </w:rPr>
              <w:t>6.975%</w:t>
            </w:r>
          </w:p>
        </w:tc>
      </w:tr>
    </w:tbl>
    <w:p w:rsidR="00DA54AE" w:rsidRDefault="00DA54AE" w:rsidP="00DE6F15">
      <w:pPr>
        <w:autoSpaceDE w:val="0"/>
        <w:autoSpaceDN w:val="0"/>
        <w:adjustRightInd w:val="0"/>
        <w:rPr>
          <w:sz w:val="24"/>
          <w:szCs w:val="24"/>
        </w:rPr>
      </w:pPr>
    </w:p>
    <w:p w:rsidR="000174EB" w:rsidRPr="00E505A8" w:rsidRDefault="00E505A8" w:rsidP="00E505A8">
      <w:pPr>
        <w:ind w:firstLine="720"/>
        <w:rPr>
          <w:sz w:val="24"/>
          <w:szCs w:val="24"/>
        </w:rPr>
      </w:pPr>
      <w:r w:rsidRPr="00E505A8">
        <w:rPr>
          <w:sz w:val="24"/>
          <w:szCs w:val="24"/>
        </w:rPr>
        <w:t>(Source:  A</w:t>
      </w:r>
      <w:r>
        <w:rPr>
          <w:sz w:val="24"/>
          <w:szCs w:val="24"/>
        </w:rPr>
        <w:t>dd</w:t>
      </w:r>
      <w:r w:rsidRPr="00E505A8">
        <w:rPr>
          <w:sz w:val="24"/>
          <w:szCs w:val="24"/>
        </w:rPr>
        <w:t xml:space="preserve">ed at 43 Ill. Reg. </w:t>
      </w:r>
      <w:r w:rsidR="001D371C">
        <w:rPr>
          <w:sz w:val="24"/>
          <w:szCs w:val="24"/>
        </w:rPr>
        <w:t>10124</w:t>
      </w:r>
      <w:r w:rsidRPr="00E505A8">
        <w:rPr>
          <w:sz w:val="24"/>
          <w:szCs w:val="24"/>
        </w:rPr>
        <w:t xml:space="preserve">, effective </w:t>
      </w:r>
      <w:r w:rsidR="001D371C">
        <w:rPr>
          <w:sz w:val="24"/>
          <w:szCs w:val="24"/>
        </w:rPr>
        <w:t>August 27, 2019</w:t>
      </w:r>
      <w:r w:rsidRPr="00E505A8">
        <w:rPr>
          <w:sz w:val="24"/>
          <w:szCs w:val="24"/>
        </w:rPr>
        <w:t>)</w:t>
      </w:r>
    </w:p>
    <w:sectPr w:rsidR="000174EB" w:rsidRPr="00E505A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6B6" w:rsidRDefault="002556B6">
      <w:r>
        <w:separator/>
      </w:r>
    </w:p>
  </w:endnote>
  <w:endnote w:type="continuationSeparator" w:id="0">
    <w:p w:rsidR="002556B6" w:rsidRDefault="00255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6B6" w:rsidRDefault="002556B6">
      <w:r>
        <w:separator/>
      </w:r>
    </w:p>
  </w:footnote>
  <w:footnote w:type="continuationSeparator" w:id="0">
    <w:p w:rsidR="002556B6" w:rsidRDefault="002556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6B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199"/>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575"/>
    <w:rsid w:val="000E6BBD"/>
    <w:rsid w:val="000E6FF6"/>
    <w:rsid w:val="000E7A0A"/>
    <w:rsid w:val="000F1E7C"/>
    <w:rsid w:val="000F25A1"/>
    <w:rsid w:val="000F6AB6"/>
    <w:rsid w:val="000F6C6D"/>
    <w:rsid w:val="00102D6B"/>
    <w:rsid w:val="00103C24"/>
    <w:rsid w:val="00110A0B"/>
    <w:rsid w:val="00113322"/>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33D6"/>
    <w:rsid w:val="00174FFD"/>
    <w:rsid w:val="001830D0"/>
    <w:rsid w:val="00184B52"/>
    <w:rsid w:val="001915E7"/>
    <w:rsid w:val="00193ABB"/>
    <w:rsid w:val="0019502A"/>
    <w:rsid w:val="001A6EDB"/>
    <w:rsid w:val="001B5F27"/>
    <w:rsid w:val="001C1D61"/>
    <w:rsid w:val="001C71C2"/>
    <w:rsid w:val="001C7D95"/>
    <w:rsid w:val="001D0EBA"/>
    <w:rsid w:val="001D0EFC"/>
    <w:rsid w:val="001D371C"/>
    <w:rsid w:val="001D7BEB"/>
    <w:rsid w:val="001E3074"/>
    <w:rsid w:val="001E630C"/>
    <w:rsid w:val="001F2A01"/>
    <w:rsid w:val="001F469B"/>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1940"/>
    <w:rsid w:val="00246C8D"/>
    <w:rsid w:val="002524EC"/>
    <w:rsid w:val="002556B6"/>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4F1487"/>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444"/>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6B5"/>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1D2F"/>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1981"/>
    <w:rsid w:val="00C0597E"/>
    <w:rsid w:val="00C05E6D"/>
    <w:rsid w:val="00C06151"/>
    <w:rsid w:val="00C06DF4"/>
    <w:rsid w:val="00C1038A"/>
    <w:rsid w:val="00C11BB7"/>
    <w:rsid w:val="00C153C4"/>
    <w:rsid w:val="00C15FD6"/>
    <w:rsid w:val="00C17192"/>
    <w:rsid w:val="00C17F24"/>
    <w:rsid w:val="00C2596B"/>
    <w:rsid w:val="00C319B3"/>
    <w:rsid w:val="00C42A93"/>
    <w:rsid w:val="00C4537A"/>
    <w:rsid w:val="00C45BEB"/>
    <w:rsid w:val="00C470EE"/>
    <w:rsid w:val="00C50195"/>
    <w:rsid w:val="00C60D0B"/>
    <w:rsid w:val="00C656F9"/>
    <w:rsid w:val="00C67B51"/>
    <w:rsid w:val="00C72A95"/>
    <w:rsid w:val="00C72C0C"/>
    <w:rsid w:val="00C73CD4"/>
    <w:rsid w:val="00C748F6"/>
    <w:rsid w:val="00C84E05"/>
    <w:rsid w:val="00C853AB"/>
    <w:rsid w:val="00C86122"/>
    <w:rsid w:val="00C9697B"/>
    <w:rsid w:val="00CA1E98"/>
    <w:rsid w:val="00CA2022"/>
    <w:rsid w:val="00CA3AA0"/>
    <w:rsid w:val="00CA4D41"/>
    <w:rsid w:val="00CA4E7D"/>
    <w:rsid w:val="00CA7140"/>
    <w:rsid w:val="00CB065C"/>
    <w:rsid w:val="00CB1C46"/>
    <w:rsid w:val="00CB3DC9"/>
    <w:rsid w:val="00CC13F9"/>
    <w:rsid w:val="00CC392E"/>
    <w:rsid w:val="00CC4FF8"/>
    <w:rsid w:val="00CD3723"/>
    <w:rsid w:val="00CD5413"/>
    <w:rsid w:val="00CE01BF"/>
    <w:rsid w:val="00CE4292"/>
    <w:rsid w:val="00CE6CBE"/>
    <w:rsid w:val="00CF0FC7"/>
    <w:rsid w:val="00CF677E"/>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A54AE"/>
    <w:rsid w:val="00DB295B"/>
    <w:rsid w:val="00DB2CC7"/>
    <w:rsid w:val="00DB78E4"/>
    <w:rsid w:val="00DC016D"/>
    <w:rsid w:val="00DC505C"/>
    <w:rsid w:val="00DC5FDC"/>
    <w:rsid w:val="00DC7214"/>
    <w:rsid w:val="00DD3C9D"/>
    <w:rsid w:val="00DE3439"/>
    <w:rsid w:val="00DE42D9"/>
    <w:rsid w:val="00DE4C07"/>
    <w:rsid w:val="00DE5010"/>
    <w:rsid w:val="00DE6F15"/>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05A8"/>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15F7"/>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79912F7-D340-4FAC-89BE-082125F6B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D6B"/>
  </w:style>
  <w:style w:type="paragraph" w:styleId="Heading1">
    <w:name w:val="heading 1"/>
    <w:basedOn w:val="Normal"/>
    <w:next w:val="Normal"/>
    <w:qFormat/>
    <w:pPr>
      <w:keepNext/>
      <w:spacing w:before="240" w:after="60"/>
      <w:outlineLvl w:val="0"/>
    </w:pPr>
    <w:rPr>
      <w:rFonts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 w:val="24"/>
      <w:szCs w:val="24"/>
    </w:rPr>
  </w:style>
  <w:style w:type="paragraph" w:styleId="Header">
    <w:name w:val="header"/>
    <w:basedOn w:val="Normal"/>
    <w:link w:val="HeaderChar"/>
    <w:uiPriority w:val="99"/>
    <w:rsid w:val="00A600AA"/>
    <w:pPr>
      <w:tabs>
        <w:tab w:val="center" w:pos="4320"/>
        <w:tab w:val="right" w:pos="8640"/>
      </w:tabs>
    </w:pPr>
    <w:rPr>
      <w:sz w:val="24"/>
      <w:szCs w:val="24"/>
    </w:rPr>
  </w:style>
  <w:style w:type="paragraph" w:styleId="Footer">
    <w:name w:val="footer"/>
    <w:basedOn w:val="Normal"/>
    <w:rsid w:val="00A600AA"/>
    <w:pPr>
      <w:tabs>
        <w:tab w:val="center" w:pos="4320"/>
        <w:tab w:val="right" w:pos="8640"/>
      </w:tabs>
    </w:pPr>
    <w:rPr>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 w:val="24"/>
      <w:u w:val="single"/>
    </w:rPr>
  </w:style>
  <w:style w:type="paragraph" w:customStyle="1" w:styleId="JCARMainSourceNote">
    <w:name w:val="JCAR Main Source Note"/>
    <w:basedOn w:val="Normal"/>
    <w:rsid w:val="00A600AA"/>
    <w:rPr>
      <w:sz w:val="24"/>
      <w:szCs w:val="24"/>
    </w:rPr>
  </w:style>
  <w:style w:type="paragraph" w:styleId="BodyText">
    <w:name w:val="Body Text"/>
    <w:basedOn w:val="Normal"/>
    <w:rsid w:val="001C71C2"/>
    <w:pPr>
      <w:spacing w:after="120"/>
    </w:pPr>
    <w:rPr>
      <w:sz w:val="24"/>
      <w:szCs w:val="24"/>
    </w:r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102D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779</Words>
  <Characters>4383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Marines, Debra L.</cp:lastModifiedBy>
  <cp:revision>6</cp:revision>
  <cp:lastPrinted>2019-05-28T21:57:00Z</cp:lastPrinted>
  <dcterms:created xsi:type="dcterms:W3CDTF">2019-07-17T22:54:00Z</dcterms:created>
  <dcterms:modified xsi:type="dcterms:W3CDTF">2019-12-10T15:18:00Z</dcterms:modified>
</cp:coreProperties>
</file>