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7D3F" w14:textId="77777777" w:rsidR="00ED042B" w:rsidRDefault="00ED042B" w:rsidP="00ED042B">
      <w:pPr>
        <w:widowControl w:val="0"/>
        <w:autoSpaceDE w:val="0"/>
        <w:autoSpaceDN w:val="0"/>
        <w:adjustRightInd w:val="0"/>
      </w:pPr>
    </w:p>
    <w:p w14:paraId="6503C8B4" w14:textId="77777777" w:rsidR="00ED042B" w:rsidRDefault="00ED042B" w:rsidP="00ED042B">
      <w:pPr>
        <w:widowControl w:val="0"/>
        <w:autoSpaceDE w:val="0"/>
        <w:autoSpaceDN w:val="0"/>
        <w:adjustRightInd w:val="0"/>
      </w:pPr>
      <w:r>
        <w:rPr>
          <w:b/>
          <w:bCs/>
        </w:rPr>
        <w:t>Section 100.2320  Determination of the Amount of Illinois Net Loss for Losses Occurring On or After December 31, 1986</w:t>
      </w:r>
      <w:r>
        <w:t xml:space="preserve"> </w:t>
      </w:r>
    </w:p>
    <w:p w14:paraId="5D37941B" w14:textId="77777777" w:rsidR="00ED042B" w:rsidRDefault="00ED042B" w:rsidP="00ED042B">
      <w:pPr>
        <w:widowControl w:val="0"/>
        <w:autoSpaceDE w:val="0"/>
        <w:autoSpaceDN w:val="0"/>
        <w:adjustRightInd w:val="0"/>
      </w:pPr>
    </w:p>
    <w:p w14:paraId="3839AD2C" w14:textId="77777777" w:rsidR="00ED042B" w:rsidRDefault="00ED042B" w:rsidP="00ED042B">
      <w:pPr>
        <w:widowControl w:val="0"/>
        <w:autoSpaceDE w:val="0"/>
        <w:autoSpaceDN w:val="0"/>
        <w:adjustRightInd w:val="0"/>
        <w:ind w:left="1440" w:hanging="720"/>
      </w:pPr>
      <w:r>
        <w:t>a)</w:t>
      </w:r>
      <w:r>
        <w:tab/>
        <w:t xml:space="preserve">Add back of federal net operating loss deduction.  The starting point in calculating Illinois net income or loss is taxable income.  IITA Section 203(e)(1) provides that  taxable income shall mean the amount of taxable income  properly reportable for federal income tax purposes, and that taxable income may be less than zero.  The IITA requires that certain addition and subtraction modifications be made to taxable income to arrive at base income. In order to avoid the recognition of a federal net operating loss in more than one taxable year, IITA Sections 203(b)(2)(E) and 203(c)(2)(E) require an addition modification for corporations, trusts and estates.  Thus, the amount of any federal net operating loss deduction (arising from a loss incurred in a taxable year ending on or after December 31, 1986), taken in arriving at federal taxable income must be added back in the computation of Illinois base income.  Since partnership and S corporations are not allowed a net operating loss deduction for federal purposes, this type of add back does not apply to them.  The add back is illustrated by the following Example. </w:t>
      </w:r>
    </w:p>
    <w:p w14:paraId="17B530E7" w14:textId="77777777" w:rsidR="002348EA" w:rsidRDefault="002348EA" w:rsidP="00ED042B">
      <w:pPr>
        <w:widowControl w:val="0"/>
        <w:autoSpaceDE w:val="0"/>
        <w:autoSpaceDN w:val="0"/>
        <w:adjustRightInd w:val="0"/>
        <w:ind w:left="1440"/>
      </w:pPr>
    </w:p>
    <w:p w14:paraId="1D21BF13" w14:textId="77777777" w:rsidR="00ED042B" w:rsidRDefault="00ED042B" w:rsidP="00ED042B">
      <w:pPr>
        <w:widowControl w:val="0"/>
        <w:autoSpaceDE w:val="0"/>
        <w:autoSpaceDN w:val="0"/>
        <w:adjustRightInd w:val="0"/>
        <w:ind w:left="1440"/>
      </w:pPr>
      <w:r>
        <w:t xml:space="preserve">EXAMPLE:  In 1986, Corporation A reported a ($100) federal net operating loss.  Corporation A carried this loss back for federal purposes and claimed a federal NOL deduction in 1983 of $100.On its Illinois amended return for 1983, since the federal NOL deduction taken on its amended 1983 U.S. return relates to an </w:t>
      </w:r>
      <w:proofErr w:type="spellStart"/>
      <w:r>
        <w:t>NOL</w:t>
      </w:r>
      <w:proofErr w:type="spellEnd"/>
      <w:r>
        <w:t xml:space="preserve"> incurred in a tax year ending on or after December 31, 1986, the $100 federal NOLD must be treated as an addition modification on Corporation A's amended 1983 Illinois return. </w:t>
      </w:r>
    </w:p>
    <w:p w14:paraId="32ABF560" w14:textId="77777777" w:rsidR="002348EA" w:rsidRDefault="002348EA" w:rsidP="00ED042B">
      <w:pPr>
        <w:widowControl w:val="0"/>
        <w:autoSpaceDE w:val="0"/>
        <w:autoSpaceDN w:val="0"/>
        <w:adjustRightInd w:val="0"/>
        <w:ind w:left="1440"/>
      </w:pPr>
    </w:p>
    <w:p w14:paraId="09F12391" w14:textId="77777777" w:rsidR="00ED042B" w:rsidRDefault="00ED042B" w:rsidP="00ED042B">
      <w:pPr>
        <w:widowControl w:val="0"/>
        <w:autoSpaceDE w:val="0"/>
        <w:autoSpaceDN w:val="0"/>
        <w:adjustRightInd w:val="0"/>
        <w:ind w:left="1440" w:hanging="720"/>
      </w:pPr>
      <w:r>
        <w:t>b)</w:t>
      </w:r>
      <w:r>
        <w:tab/>
        <w:t xml:space="preserve">Other modifications, allocation and apportionment. The  other addition  and  subtraction  modifications provided in  IITA Sections  203(b)(2), 203(c)(2),  and 203(d)(2)  must be  taken  into  account  before  an Illinois net  loss  can  be  determined.  Also, the allocation ad apportionment provisions of IITA Article 3 must be applied before an Illinois net loss can be determined.  This is illustrated in the following Example. </w:t>
      </w:r>
    </w:p>
    <w:p w14:paraId="02EE344B" w14:textId="77777777" w:rsidR="002348EA" w:rsidRDefault="002348EA" w:rsidP="00ED042B">
      <w:pPr>
        <w:widowControl w:val="0"/>
        <w:autoSpaceDE w:val="0"/>
        <w:autoSpaceDN w:val="0"/>
        <w:adjustRightInd w:val="0"/>
        <w:ind w:left="1440" w:hanging="720"/>
      </w:pPr>
    </w:p>
    <w:p w14:paraId="0758C0B8" w14:textId="77777777" w:rsidR="00ED042B" w:rsidRDefault="00ED042B" w:rsidP="00ED042B">
      <w:pPr>
        <w:widowControl w:val="0"/>
        <w:autoSpaceDE w:val="0"/>
        <w:autoSpaceDN w:val="0"/>
        <w:adjustRightInd w:val="0"/>
        <w:ind w:left="1440"/>
      </w:pPr>
      <w:r>
        <w:t xml:space="preserve">EXAMPLE:  In 1987, Corporation A has federal taxable income of $200, less a $100 federal NOLD relating to a NOL incurred in 1986.  In 1987, Corporation A also has $300 of  Illinois addition  modifications relating  to income from  State obligations,  $200  of  subtraction modifications relating to income from U.S. obligations, $400  of nonbusiness  loss  allocable  to Illinois, and  a 50% apportionment factor in Illinois. Corporation A would compute its 1987 Illinois net loss as follows: </w:t>
      </w:r>
    </w:p>
    <w:p w14:paraId="72E61169" w14:textId="77777777" w:rsidR="00ED042B" w:rsidRDefault="00ED042B" w:rsidP="00ED042B">
      <w:pPr>
        <w:widowControl w:val="0"/>
        <w:autoSpaceDE w:val="0"/>
        <w:autoSpaceDN w:val="0"/>
        <w:adjustRightInd w:val="0"/>
      </w:pPr>
    </w:p>
    <w:tbl>
      <w:tblPr>
        <w:tblW w:w="7980" w:type="dxa"/>
        <w:tblInd w:w="2046" w:type="dxa"/>
        <w:tblLook w:val="0000" w:firstRow="0" w:lastRow="0" w:firstColumn="0" w:lastColumn="0" w:noHBand="0" w:noVBand="0"/>
      </w:tblPr>
      <w:tblGrid>
        <w:gridCol w:w="1083"/>
        <w:gridCol w:w="342"/>
        <w:gridCol w:w="5303"/>
        <w:gridCol w:w="1252"/>
      </w:tblGrid>
      <w:tr w:rsidR="00ED042B" w14:paraId="3435DC66" w14:textId="77777777">
        <w:tc>
          <w:tcPr>
            <w:tcW w:w="1083" w:type="dxa"/>
          </w:tcPr>
          <w:p w14:paraId="7F36CD50" w14:textId="77777777" w:rsidR="00ED042B" w:rsidRDefault="00ED042B" w:rsidP="00ED042B">
            <w:pPr>
              <w:widowControl w:val="0"/>
              <w:autoSpaceDE w:val="0"/>
              <w:autoSpaceDN w:val="0"/>
              <w:adjustRightInd w:val="0"/>
            </w:pPr>
            <w:r>
              <w:t>Line 1</w:t>
            </w:r>
          </w:p>
        </w:tc>
        <w:tc>
          <w:tcPr>
            <w:tcW w:w="342" w:type="dxa"/>
          </w:tcPr>
          <w:p w14:paraId="746F616F" w14:textId="77777777" w:rsidR="00ED042B" w:rsidRDefault="00ED042B" w:rsidP="00ED042B">
            <w:pPr>
              <w:widowControl w:val="0"/>
              <w:autoSpaceDE w:val="0"/>
              <w:autoSpaceDN w:val="0"/>
              <w:adjustRightInd w:val="0"/>
            </w:pPr>
            <w:r>
              <w:t>–</w:t>
            </w:r>
          </w:p>
        </w:tc>
        <w:tc>
          <w:tcPr>
            <w:tcW w:w="5303" w:type="dxa"/>
          </w:tcPr>
          <w:p w14:paraId="6FF9C466" w14:textId="77777777" w:rsidR="00ED042B" w:rsidRDefault="00ED042B" w:rsidP="00ED042B">
            <w:pPr>
              <w:widowControl w:val="0"/>
              <w:autoSpaceDE w:val="0"/>
              <w:autoSpaceDN w:val="0"/>
              <w:adjustRightInd w:val="0"/>
            </w:pPr>
            <w:r>
              <w:t>taxable income</w:t>
            </w:r>
          </w:p>
        </w:tc>
        <w:tc>
          <w:tcPr>
            <w:tcW w:w="1252" w:type="dxa"/>
          </w:tcPr>
          <w:p w14:paraId="5BF07E9B" w14:textId="77777777" w:rsidR="00ED042B" w:rsidRDefault="00ED042B" w:rsidP="00ED042B">
            <w:pPr>
              <w:widowControl w:val="0"/>
              <w:autoSpaceDE w:val="0"/>
              <w:autoSpaceDN w:val="0"/>
              <w:adjustRightInd w:val="0"/>
            </w:pPr>
            <w:r>
              <w:t>100</w:t>
            </w:r>
          </w:p>
        </w:tc>
      </w:tr>
      <w:tr w:rsidR="00ED042B" w14:paraId="273AC062" w14:textId="77777777">
        <w:tc>
          <w:tcPr>
            <w:tcW w:w="1083" w:type="dxa"/>
          </w:tcPr>
          <w:p w14:paraId="1154F19A" w14:textId="77777777" w:rsidR="00ED042B" w:rsidRDefault="00ED042B" w:rsidP="00ED042B">
            <w:pPr>
              <w:widowControl w:val="0"/>
              <w:autoSpaceDE w:val="0"/>
              <w:autoSpaceDN w:val="0"/>
              <w:adjustRightInd w:val="0"/>
            </w:pPr>
            <w:r>
              <w:t>Plus</w:t>
            </w:r>
          </w:p>
        </w:tc>
        <w:tc>
          <w:tcPr>
            <w:tcW w:w="342" w:type="dxa"/>
          </w:tcPr>
          <w:p w14:paraId="02C54B6F" w14:textId="77777777" w:rsidR="00ED042B" w:rsidRDefault="00ED042B" w:rsidP="00ED042B">
            <w:pPr>
              <w:widowControl w:val="0"/>
              <w:autoSpaceDE w:val="0"/>
              <w:autoSpaceDN w:val="0"/>
              <w:adjustRightInd w:val="0"/>
            </w:pPr>
            <w:r>
              <w:t>–</w:t>
            </w:r>
          </w:p>
        </w:tc>
        <w:tc>
          <w:tcPr>
            <w:tcW w:w="5303" w:type="dxa"/>
          </w:tcPr>
          <w:p w14:paraId="65EB946C" w14:textId="77777777" w:rsidR="00ED042B" w:rsidRDefault="00ED042B" w:rsidP="00ED042B">
            <w:pPr>
              <w:widowControl w:val="0"/>
              <w:autoSpaceDE w:val="0"/>
              <w:autoSpaceDN w:val="0"/>
              <w:adjustRightInd w:val="0"/>
            </w:pPr>
            <w:r>
              <w:t>addition modification for federal NOLD relating to 1986 loss</w:t>
            </w:r>
          </w:p>
        </w:tc>
        <w:tc>
          <w:tcPr>
            <w:tcW w:w="1252" w:type="dxa"/>
          </w:tcPr>
          <w:p w14:paraId="19A9EECC" w14:textId="77777777" w:rsidR="00ED042B" w:rsidRDefault="00ED042B" w:rsidP="00ED042B">
            <w:pPr>
              <w:widowControl w:val="0"/>
              <w:autoSpaceDE w:val="0"/>
              <w:autoSpaceDN w:val="0"/>
              <w:adjustRightInd w:val="0"/>
            </w:pPr>
            <w:r>
              <w:t>100</w:t>
            </w:r>
          </w:p>
        </w:tc>
      </w:tr>
      <w:tr w:rsidR="00ED042B" w14:paraId="000280F7" w14:textId="77777777">
        <w:tc>
          <w:tcPr>
            <w:tcW w:w="1083" w:type="dxa"/>
          </w:tcPr>
          <w:p w14:paraId="13F332E4" w14:textId="77777777" w:rsidR="00ED042B" w:rsidRDefault="00ED042B" w:rsidP="00ED042B">
            <w:pPr>
              <w:widowControl w:val="0"/>
              <w:autoSpaceDE w:val="0"/>
              <w:autoSpaceDN w:val="0"/>
              <w:adjustRightInd w:val="0"/>
            </w:pPr>
            <w:r>
              <w:t>Plus</w:t>
            </w:r>
          </w:p>
        </w:tc>
        <w:tc>
          <w:tcPr>
            <w:tcW w:w="342" w:type="dxa"/>
          </w:tcPr>
          <w:p w14:paraId="73F40CA6" w14:textId="77777777" w:rsidR="00ED042B" w:rsidRDefault="00ED042B" w:rsidP="00ED042B">
            <w:pPr>
              <w:widowControl w:val="0"/>
              <w:autoSpaceDE w:val="0"/>
              <w:autoSpaceDN w:val="0"/>
              <w:adjustRightInd w:val="0"/>
            </w:pPr>
            <w:r>
              <w:t>–</w:t>
            </w:r>
          </w:p>
        </w:tc>
        <w:tc>
          <w:tcPr>
            <w:tcW w:w="5303" w:type="dxa"/>
          </w:tcPr>
          <w:p w14:paraId="74962281" w14:textId="77777777" w:rsidR="00ED042B" w:rsidRDefault="00ED042B" w:rsidP="00ED042B">
            <w:pPr>
              <w:widowControl w:val="0"/>
              <w:autoSpaceDE w:val="0"/>
              <w:autoSpaceDN w:val="0"/>
              <w:adjustRightInd w:val="0"/>
            </w:pPr>
            <w:r>
              <w:t xml:space="preserve">other addition modification </w:t>
            </w:r>
          </w:p>
        </w:tc>
        <w:tc>
          <w:tcPr>
            <w:tcW w:w="1252" w:type="dxa"/>
          </w:tcPr>
          <w:p w14:paraId="3EB6A5C6" w14:textId="77777777" w:rsidR="00ED042B" w:rsidRDefault="00ED042B" w:rsidP="00ED042B">
            <w:pPr>
              <w:widowControl w:val="0"/>
              <w:autoSpaceDE w:val="0"/>
              <w:autoSpaceDN w:val="0"/>
              <w:adjustRightInd w:val="0"/>
            </w:pPr>
            <w:r>
              <w:t>300</w:t>
            </w:r>
          </w:p>
        </w:tc>
      </w:tr>
      <w:tr w:rsidR="00ED042B" w14:paraId="14F8A66F" w14:textId="77777777">
        <w:tc>
          <w:tcPr>
            <w:tcW w:w="1083" w:type="dxa"/>
          </w:tcPr>
          <w:p w14:paraId="7B1A23A6" w14:textId="77777777" w:rsidR="00ED042B" w:rsidRDefault="00ED042B" w:rsidP="00ED042B">
            <w:pPr>
              <w:widowControl w:val="0"/>
              <w:autoSpaceDE w:val="0"/>
              <w:autoSpaceDN w:val="0"/>
              <w:adjustRightInd w:val="0"/>
            </w:pPr>
            <w:r>
              <w:lastRenderedPageBreak/>
              <w:t>Minus</w:t>
            </w:r>
          </w:p>
        </w:tc>
        <w:tc>
          <w:tcPr>
            <w:tcW w:w="342" w:type="dxa"/>
          </w:tcPr>
          <w:p w14:paraId="34D67FAF" w14:textId="77777777" w:rsidR="00ED042B" w:rsidRDefault="00ED042B" w:rsidP="00ED042B">
            <w:pPr>
              <w:widowControl w:val="0"/>
              <w:autoSpaceDE w:val="0"/>
              <w:autoSpaceDN w:val="0"/>
              <w:adjustRightInd w:val="0"/>
            </w:pPr>
            <w:r>
              <w:t>–</w:t>
            </w:r>
          </w:p>
        </w:tc>
        <w:tc>
          <w:tcPr>
            <w:tcW w:w="5303" w:type="dxa"/>
          </w:tcPr>
          <w:p w14:paraId="23ED1EE3" w14:textId="77777777" w:rsidR="00ED042B" w:rsidRDefault="00ED042B" w:rsidP="00ED042B">
            <w:pPr>
              <w:widowControl w:val="0"/>
              <w:autoSpaceDE w:val="0"/>
              <w:autoSpaceDN w:val="0"/>
              <w:adjustRightInd w:val="0"/>
            </w:pPr>
            <w:r>
              <w:t xml:space="preserve">subtraction modification </w:t>
            </w:r>
          </w:p>
        </w:tc>
        <w:tc>
          <w:tcPr>
            <w:tcW w:w="1252" w:type="dxa"/>
          </w:tcPr>
          <w:p w14:paraId="5AC6BAC9" w14:textId="77777777" w:rsidR="00ED042B" w:rsidRDefault="00ED042B" w:rsidP="00ED042B">
            <w:pPr>
              <w:widowControl w:val="0"/>
              <w:autoSpaceDE w:val="0"/>
              <w:autoSpaceDN w:val="0"/>
              <w:adjustRightInd w:val="0"/>
            </w:pPr>
            <w:r>
              <w:t>(200)</w:t>
            </w:r>
          </w:p>
        </w:tc>
      </w:tr>
      <w:tr w:rsidR="00ED042B" w14:paraId="1DF64053" w14:textId="77777777">
        <w:tc>
          <w:tcPr>
            <w:tcW w:w="1083" w:type="dxa"/>
          </w:tcPr>
          <w:p w14:paraId="2215BC01" w14:textId="77777777" w:rsidR="00ED042B" w:rsidRDefault="00ED042B" w:rsidP="00ED042B">
            <w:pPr>
              <w:widowControl w:val="0"/>
              <w:autoSpaceDE w:val="0"/>
              <w:autoSpaceDN w:val="0"/>
              <w:adjustRightInd w:val="0"/>
            </w:pPr>
            <w:r>
              <w:t>Equals</w:t>
            </w:r>
          </w:p>
        </w:tc>
        <w:tc>
          <w:tcPr>
            <w:tcW w:w="342" w:type="dxa"/>
          </w:tcPr>
          <w:p w14:paraId="36DA3760" w14:textId="77777777" w:rsidR="00ED042B" w:rsidRDefault="00ED042B" w:rsidP="00ED042B">
            <w:pPr>
              <w:widowControl w:val="0"/>
              <w:autoSpaceDE w:val="0"/>
              <w:autoSpaceDN w:val="0"/>
              <w:adjustRightInd w:val="0"/>
            </w:pPr>
            <w:r>
              <w:t>–</w:t>
            </w:r>
          </w:p>
        </w:tc>
        <w:tc>
          <w:tcPr>
            <w:tcW w:w="5303" w:type="dxa"/>
          </w:tcPr>
          <w:p w14:paraId="6C8B1C83" w14:textId="77777777" w:rsidR="00ED042B" w:rsidRDefault="00ED042B" w:rsidP="00ED042B">
            <w:pPr>
              <w:widowControl w:val="0"/>
              <w:autoSpaceDE w:val="0"/>
              <w:autoSpaceDN w:val="0"/>
              <w:adjustRightInd w:val="0"/>
            </w:pPr>
            <w:r>
              <w:t xml:space="preserve">base income </w:t>
            </w:r>
          </w:p>
        </w:tc>
        <w:tc>
          <w:tcPr>
            <w:tcW w:w="1252" w:type="dxa"/>
          </w:tcPr>
          <w:p w14:paraId="2FD1C819" w14:textId="77777777" w:rsidR="00ED042B" w:rsidRDefault="00ED042B" w:rsidP="00ED042B">
            <w:pPr>
              <w:widowControl w:val="0"/>
              <w:autoSpaceDE w:val="0"/>
              <w:autoSpaceDN w:val="0"/>
              <w:adjustRightInd w:val="0"/>
            </w:pPr>
            <w:r>
              <w:t>$300</w:t>
            </w:r>
          </w:p>
        </w:tc>
      </w:tr>
      <w:tr w:rsidR="00ED042B" w14:paraId="3B39483D" w14:textId="77777777">
        <w:tc>
          <w:tcPr>
            <w:tcW w:w="1083" w:type="dxa"/>
          </w:tcPr>
          <w:p w14:paraId="0B0E7072" w14:textId="77777777" w:rsidR="00ED042B" w:rsidRDefault="00ED042B" w:rsidP="00ED042B">
            <w:pPr>
              <w:widowControl w:val="0"/>
              <w:autoSpaceDE w:val="0"/>
              <w:autoSpaceDN w:val="0"/>
              <w:adjustRightInd w:val="0"/>
            </w:pPr>
            <w:r>
              <w:t>Minus</w:t>
            </w:r>
          </w:p>
        </w:tc>
        <w:tc>
          <w:tcPr>
            <w:tcW w:w="342" w:type="dxa"/>
          </w:tcPr>
          <w:p w14:paraId="43FC730C" w14:textId="77777777" w:rsidR="00ED042B" w:rsidRDefault="00ED042B" w:rsidP="00ED042B">
            <w:pPr>
              <w:widowControl w:val="0"/>
              <w:autoSpaceDE w:val="0"/>
              <w:autoSpaceDN w:val="0"/>
              <w:adjustRightInd w:val="0"/>
            </w:pPr>
            <w:r>
              <w:t>–</w:t>
            </w:r>
          </w:p>
        </w:tc>
        <w:tc>
          <w:tcPr>
            <w:tcW w:w="5303" w:type="dxa"/>
          </w:tcPr>
          <w:p w14:paraId="46D65E96" w14:textId="77777777" w:rsidR="00ED042B" w:rsidRDefault="00ED042B" w:rsidP="00ED042B">
            <w:pPr>
              <w:widowControl w:val="0"/>
              <w:autoSpaceDE w:val="0"/>
              <w:autoSpaceDN w:val="0"/>
              <w:adjustRightInd w:val="0"/>
            </w:pPr>
            <w:r>
              <w:t>nonbusiness loss</w:t>
            </w:r>
          </w:p>
        </w:tc>
        <w:tc>
          <w:tcPr>
            <w:tcW w:w="1252" w:type="dxa"/>
          </w:tcPr>
          <w:p w14:paraId="28F7886B" w14:textId="77777777" w:rsidR="00ED042B" w:rsidRDefault="00ED042B" w:rsidP="00ED042B">
            <w:pPr>
              <w:widowControl w:val="0"/>
              <w:autoSpaceDE w:val="0"/>
              <w:autoSpaceDN w:val="0"/>
              <w:adjustRightInd w:val="0"/>
            </w:pPr>
            <w:r>
              <w:t>(400)</w:t>
            </w:r>
          </w:p>
        </w:tc>
      </w:tr>
      <w:tr w:rsidR="00ED042B" w14:paraId="6CC927BB" w14:textId="77777777">
        <w:tc>
          <w:tcPr>
            <w:tcW w:w="1083" w:type="dxa"/>
          </w:tcPr>
          <w:p w14:paraId="1F951E0F" w14:textId="77777777" w:rsidR="00ED042B" w:rsidRDefault="00ED042B" w:rsidP="00ED042B">
            <w:pPr>
              <w:widowControl w:val="0"/>
              <w:autoSpaceDE w:val="0"/>
              <w:autoSpaceDN w:val="0"/>
              <w:adjustRightInd w:val="0"/>
            </w:pPr>
            <w:r>
              <w:t>Equals</w:t>
            </w:r>
          </w:p>
        </w:tc>
        <w:tc>
          <w:tcPr>
            <w:tcW w:w="342" w:type="dxa"/>
          </w:tcPr>
          <w:p w14:paraId="36AEED62" w14:textId="77777777" w:rsidR="00ED042B" w:rsidRDefault="00ED042B" w:rsidP="00ED042B">
            <w:pPr>
              <w:widowControl w:val="0"/>
              <w:autoSpaceDE w:val="0"/>
              <w:autoSpaceDN w:val="0"/>
              <w:adjustRightInd w:val="0"/>
            </w:pPr>
            <w:r>
              <w:t>–</w:t>
            </w:r>
          </w:p>
        </w:tc>
        <w:tc>
          <w:tcPr>
            <w:tcW w:w="5303" w:type="dxa"/>
          </w:tcPr>
          <w:p w14:paraId="6FD58A76" w14:textId="77777777" w:rsidR="00ED042B" w:rsidRDefault="00ED042B" w:rsidP="00ED042B">
            <w:pPr>
              <w:widowControl w:val="0"/>
              <w:autoSpaceDE w:val="0"/>
              <w:autoSpaceDN w:val="0"/>
              <w:adjustRightInd w:val="0"/>
            </w:pPr>
            <w:r>
              <w:t>business income</w:t>
            </w:r>
          </w:p>
        </w:tc>
        <w:tc>
          <w:tcPr>
            <w:tcW w:w="1252" w:type="dxa"/>
          </w:tcPr>
          <w:p w14:paraId="6E2DC41B" w14:textId="77777777" w:rsidR="00ED042B" w:rsidRDefault="00ED042B" w:rsidP="00ED042B">
            <w:pPr>
              <w:widowControl w:val="0"/>
              <w:autoSpaceDE w:val="0"/>
              <w:autoSpaceDN w:val="0"/>
              <w:adjustRightInd w:val="0"/>
            </w:pPr>
            <w:r>
              <w:t>700</w:t>
            </w:r>
          </w:p>
        </w:tc>
      </w:tr>
      <w:tr w:rsidR="00ED042B" w14:paraId="7A7F4F8E" w14:textId="77777777">
        <w:tc>
          <w:tcPr>
            <w:tcW w:w="1083" w:type="dxa"/>
          </w:tcPr>
          <w:p w14:paraId="7C062EBC" w14:textId="77777777" w:rsidR="00ED042B" w:rsidRDefault="00ED042B" w:rsidP="00ED042B">
            <w:pPr>
              <w:widowControl w:val="0"/>
              <w:autoSpaceDE w:val="0"/>
              <w:autoSpaceDN w:val="0"/>
              <w:adjustRightInd w:val="0"/>
            </w:pPr>
            <w:r>
              <w:t>Times</w:t>
            </w:r>
          </w:p>
        </w:tc>
        <w:tc>
          <w:tcPr>
            <w:tcW w:w="342" w:type="dxa"/>
          </w:tcPr>
          <w:p w14:paraId="143BE19A" w14:textId="77777777" w:rsidR="00ED042B" w:rsidRDefault="00ED042B" w:rsidP="00ED042B">
            <w:pPr>
              <w:widowControl w:val="0"/>
              <w:autoSpaceDE w:val="0"/>
              <w:autoSpaceDN w:val="0"/>
              <w:adjustRightInd w:val="0"/>
            </w:pPr>
            <w:r>
              <w:t>–</w:t>
            </w:r>
          </w:p>
        </w:tc>
        <w:tc>
          <w:tcPr>
            <w:tcW w:w="5303" w:type="dxa"/>
          </w:tcPr>
          <w:p w14:paraId="584A9BCC" w14:textId="77777777" w:rsidR="00ED042B" w:rsidRDefault="00ED042B" w:rsidP="00ED042B">
            <w:pPr>
              <w:widowControl w:val="0"/>
              <w:autoSpaceDE w:val="0"/>
              <w:autoSpaceDN w:val="0"/>
              <w:adjustRightInd w:val="0"/>
            </w:pPr>
            <w:r>
              <w:t>50% apportionment factor</w:t>
            </w:r>
          </w:p>
        </w:tc>
        <w:tc>
          <w:tcPr>
            <w:tcW w:w="1252" w:type="dxa"/>
          </w:tcPr>
          <w:p w14:paraId="4147CC8F" w14:textId="77777777" w:rsidR="00ED042B" w:rsidRDefault="00ED042B" w:rsidP="00ED042B">
            <w:pPr>
              <w:widowControl w:val="0"/>
              <w:autoSpaceDE w:val="0"/>
              <w:autoSpaceDN w:val="0"/>
              <w:adjustRightInd w:val="0"/>
            </w:pPr>
            <w:r>
              <w:t>350</w:t>
            </w:r>
          </w:p>
        </w:tc>
      </w:tr>
      <w:tr w:rsidR="00ED042B" w14:paraId="15BE5A8A" w14:textId="77777777">
        <w:tc>
          <w:tcPr>
            <w:tcW w:w="1083" w:type="dxa"/>
          </w:tcPr>
          <w:p w14:paraId="011BF0FA" w14:textId="77777777" w:rsidR="00ED042B" w:rsidRDefault="00ED042B" w:rsidP="00ED042B">
            <w:pPr>
              <w:widowControl w:val="0"/>
              <w:autoSpaceDE w:val="0"/>
              <w:autoSpaceDN w:val="0"/>
              <w:adjustRightInd w:val="0"/>
            </w:pPr>
            <w:r>
              <w:t>Plus</w:t>
            </w:r>
          </w:p>
        </w:tc>
        <w:tc>
          <w:tcPr>
            <w:tcW w:w="342" w:type="dxa"/>
          </w:tcPr>
          <w:p w14:paraId="27F85A00" w14:textId="77777777" w:rsidR="00ED042B" w:rsidRDefault="00ED042B" w:rsidP="00ED042B">
            <w:pPr>
              <w:widowControl w:val="0"/>
              <w:autoSpaceDE w:val="0"/>
              <w:autoSpaceDN w:val="0"/>
              <w:adjustRightInd w:val="0"/>
            </w:pPr>
            <w:r>
              <w:t>–</w:t>
            </w:r>
          </w:p>
        </w:tc>
        <w:tc>
          <w:tcPr>
            <w:tcW w:w="5303" w:type="dxa"/>
          </w:tcPr>
          <w:p w14:paraId="7DA167CC" w14:textId="77777777" w:rsidR="00ED042B" w:rsidRDefault="00ED042B" w:rsidP="00ED042B">
            <w:pPr>
              <w:widowControl w:val="0"/>
              <w:autoSpaceDE w:val="0"/>
              <w:autoSpaceDN w:val="0"/>
              <w:adjustRightInd w:val="0"/>
            </w:pPr>
            <w:r>
              <w:t>nonbusiness loss allocable to Illinois</w:t>
            </w:r>
          </w:p>
        </w:tc>
        <w:tc>
          <w:tcPr>
            <w:tcW w:w="1252" w:type="dxa"/>
          </w:tcPr>
          <w:p w14:paraId="3417F27C" w14:textId="77777777" w:rsidR="00ED042B" w:rsidRDefault="00ED042B" w:rsidP="00ED042B">
            <w:pPr>
              <w:widowControl w:val="0"/>
              <w:autoSpaceDE w:val="0"/>
              <w:autoSpaceDN w:val="0"/>
              <w:adjustRightInd w:val="0"/>
            </w:pPr>
            <w:r>
              <w:t>(400)</w:t>
            </w:r>
          </w:p>
        </w:tc>
      </w:tr>
      <w:tr w:rsidR="00ED042B" w14:paraId="0DEEB31A" w14:textId="77777777">
        <w:tc>
          <w:tcPr>
            <w:tcW w:w="1083" w:type="dxa"/>
          </w:tcPr>
          <w:p w14:paraId="42A40B4B" w14:textId="77777777" w:rsidR="00ED042B" w:rsidRDefault="00ED042B" w:rsidP="00ED042B">
            <w:pPr>
              <w:widowControl w:val="0"/>
              <w:autoSpaceDE w:val="0"/>
              <w:autoSpaceDN w:val="0"/>
              <w:adjustRightInd w:val="0"/>
            </w:pPr>
            <w:r>
              <w:t>Equals</w:t>
            </w:r>
          </w:p>
        </w:tc>
        <w:tc>
          <w:tcPr>
            <w:tcW w:w="342" w:type="dxa"/>
          </w:tcPr>
          <w:p w14:paraId="2A5207B3" w14:textId="77777777" w:rsidR="00ED042B" w:rsidRDefault="00ED042B" w:rsidP="00ED042B">
            <w:pPr>
              <w:widowControl w:val="0"/>
              <w:autoSpaceDE w:val="0"/>
              <w:autoSpaceDN w:val="0"/>
              <w:adjustRightInd w:val="0"/>
            </w:pPr>
            <w:r>
              <w:t>–</w:t>
            </w:r>
          </w:p>
        </w:tc>
        <w:tc>
          <w:tcPr>
            <w:tcW w:w="5303" w:type="dxa"/>
          </w:tcPr>
          <w:p w14:paraId="27FE347F" w14:textId="77777777" w:rsidR="00ED042B" w:rsidRDefault="00ED042B" w:rsidP="00ED042B">
            <w:pPr>
              <w:widowControl w:val="0"/>
              <w:autoSpaceDE w:val="0"/>
              <w:autoSpaceDN w:val="0"/>
              <w:adjustRightInd w:val="0"/>
            </w:pPr>
            <w:r>
              <w:t>Illinois net loss</w:t>
            </w:r>
          </w:p>
        </w:tc>
        <w:tc>
          <w:tcPr>
            <w:tcW w:w="1252" w:type="dxa"/>
          </w:tcPr>
          <w:p w14:paraId="5E30B723" w14:textId="77777777" w:rsidR="00ED042B" w:rsidRDefault="00ED042B" w:rsidP="00ED042B">
            <w:pPr>
              <w:widowControl w:val="0"/>
              <w:autoSpaceDE w:val="0"/>
              <w:autoSpaceDN w:val="0"/>
              <w:adjustRightInd w:val="0"/>
            </w:pPr>
            <w:r>
              <w:t>(  50)</w:t>
            </w:r>
          </w:p>
        </w:tc>
      </w:tr>
    </w:tbl>
    <w:p w14:paraId="1959A9D0" w14:textId="77777777" w:rsidR="00ED042B" w:rsidRDefault="00ED042B" w:rsidP="00ED042B">
      <w:pPr>
        <w:widowControl w:val="0"/>
        <w:autoSpaceDE w:val="0"/>
        <w:autoSpaceDN w:val="0"/>
        <w:adjustRightInd w:val="0"/>
      </w:pPr>
    </w:p>
    <w:p w14:paraId="1FD46156" w14:textId="77777777" w:rsidR="00ED042B" w:rsidRDefault="00ED042B" w:rsidP="00ED042B">
      <w:pPr>
        <w:widowControl w:val="0"/>
        <w:autoSpaceDE w:val="0"/>
        <w:autoSpaceDN w:val="0"/>
        <w:adjustRightInd w:val="0"/>
        <w:ind w:left="1440" w:hanging="720"/>
      </w:pPr>
      <w:r>
        <w:t>c)</w:t>
      </w:r>
      <w:r>
        <w:tab/>
        <w:t xml:space="preserve">Net operating losses occurring prior to December 31, 1986, carried into tax years ending on or  after December 31, 1986 </w:t>
      </w:r>
    </w:p>
    <w:p w14:paraId="31A6F2BD" w14:textId="77777777" w:rsidR="004241F8" w:rsidRDefault="004241F8" w:rsidP="00ED042B">
      <w:pPr>
        <w:widowControl w:val="0"/>
        <w:autoSpaceDE w:val="0"/>
        <w:autoSpaceDN w:val="0"/>
        <w:adjustRightInd w:val="0"/>
        <w:ind w:left="2160" w:hanging="720"/>
      </w:pPr>
    </w:p>
    <w:p w14:paraId="6CBB15F9" w14:textId="77777777" w:rsidR="00ED042B" w:rsidRDefault="00ED042B" w:rsidP="00ED042B">
      <w:pPr>
        <w:widowControl w:val="0"/>
        <w:autoSpaceDE w:val="0"/>
        <w:autoSpaceDN w:val="0"/>
        <w:adjustRightInd w:val="0"/>
        <w:ind w:left="2160" w:hanging="720"/>
      </w:pPr>
      <w:r>
        <w:t>1)</w:t>
      </w:r>
      <w:r>
        <w:tab/>
        <w:t xml:space="preserve">Effect on taxable income in the carryforward year. Any federal net operating losses occurring prior to  December 31,  1986 and carried into tax years ending  on or after December 31, 1986, will be treated  as an  adjustment to  federal taxable income (an  adjustment before apportionment), and any such  federal net  operating  loss  deduction will  not be  required  to  be  added  back  in computing Illinois  base income  unless such loss has already  been used for Illinois purposes (see paragraph 3, below). </w:t>
      </w:r>
    </w:p>
    <w:p w14:paraId="6046DF13" w14:textId="77777777" w:rsidR="004241F8" w:rsidRDefault="004241F8" w:rsidP="00ED042B">
      <w:pPr>
        <w:widowControl w:val="0"/>
        <w:autoSpaceDE w:val="0"/>
        <w:autoSpaceDN w:val="0"/>
        <w:adjustRightInd w:val="0"/>
        <w:ind w:left="2160" w:hanging="720"/>
      </w:pPr>
    </w:p>
    <w:p w14:paraId="19E8D237" w14:textId="77777777" w:rsidR="00ED042B" w:rsidRDefault="00ED042B" w:rsidP="00ED042B">
      <w:pPr>
        <w:widowControl w:val="0"/>
        <w:autoSpaceDE w:val="0"/>
        <w:autoSpaceDN w:val="0"/>
        <w:adjustRightInd w:val="0"/>
        <w:ind w:left="2160" w:hanging="720"/>
      </w:pPr>
      <w:r>
        <w:t>2)</w:t>
      </w:r>
      <w:r>
        <w:tab/>
        <w:t xml:space="preserve">Effect on  excess addition  modifications in  the carryforward year.  Furthermore,  IITA  Section 203(e)(1), as  amended by  P.A. 84-1400,  permits net  operating loss  carryforwards from  pre- December 31,1986,  tax years  to tax years ending on or  after December  31, 1986,  to  offset  the excess of  Illinois addition  modifications  over subtraction modifications in such years.  This is illustrated in the following Example. </w:t>
      </w:r>
    </w:p>
    <w:p w14:paraId="13D55A8E" w14:textId="77777777" w:rsidR="005918B0" w:rsidRDefault="005918B0" w:rsidP="00ED042B">
      <w:pPr>
        <w:widowControl w:val="0"/>
        <w:autoSpaceDE w:val="0"/>
        <w:autoSpaceDN w:val="0"/>
        <w:adjustRightInd w:val="0"/>
        <w:ind w:left="2160"/>
      </w:pPr>
    </w:p>
    <w:p w14:paraId="7AFFB381" w14:textId="77777777" w:rsidR="00ED042B" w:rsidRDefault="00ED042B" w:rsidP="00ED042B">
      <w:pPr>
        <w:widowControl w:val="0"/>
        <w:autoSpaceDE w:val="0"/>
        <w:autoSpaceDN w:val="0"/>
        <w:adjustRightInd w:val="0"/>
        <w:ind w:left="2160"/>
      </w:pPr>
      <w:r>
        <w:t>EXAMPLE:  Corporation A had a $1,000 federal net operating loss in 1985.  The loss could not be carried back to a prior year and none of it was absorbed in 1986.In 1987, Corporation A had federal taxable income before special deductions of $200, and it had $100 of excess Illinois addition</w:t>
      </w:r>
      <w:r w:rsidR="004241F8">
        <w:t xml:space="preserve"> </w:t>
      </w:r>
      <w:r>
        <w:t xml:space="preserve">modifications over subtraction modifications.  As a result, the $1,000 federal net operating loss will offset the $200 of taxable income before special deductions and the $100 of excess addition modifications.  For Illinois income tax purposes, Illinois base income and Illinois net income will be zero for 1987, and  there will remain a $700 federal net operating loss  carryforward for  1988 and  later years. </w:t>
      </w:r>
    </w:p>
    <w:p w14:paraId="3E96455D" w14:textId="77777777" w:rsidR="005918B0" w:rsidRDefault="005918B0" w:rsidP="00ED042B">
      <w:pPr>
        <w:widowControl w:val="0"/>
        <w:autoSpaceDE w:val="0"/>
        <w:autoSpaceDN w:val="0"/>
        <w:adjustRightInd w:val="0"/>
        <w:ind w:left="2160"/>
      </w:pPr>
    </w:p>
    <w:p w14:paraId="25EFD109" w14:textId="77777777" w:rsidR="00ED042B" w:rsidRDefault="00ED042B" w:rsidP="00ED042B">
      <w:pPr>
        <w:widowControl w:val="0"/>
        <w:autoSpaceDE w:val="0"/>
        <w:autoSpaceDN w:val="0"/>
        <w:adjustRightInd w:val="0"/>
        <w:ind w:left="2160" w:hanging="720"/>
      </w:pPr>
      <w:r>
        <w:t>3)</w:t>
      </w:r>
      <w:r>
        <w:tab/>
        <w:t xml:space="preserve">NOL addition modification in carryforward years. For taxable years in which a net operating loss carryforward from a taxable year ending prior to December 31, 1986, is an element of taxable income, IITA Sections 203(b)(2)(F) and 203(c)(2)(F) provide a special addition modification if that loss carryforward originated in a loss year in which it was used to offset excess Illinois addition modifications in calculating Illinois base income.  See Schedule NL or NL-1 (for members of unitary business groups) of the IL-1120. </w:t>
      </w:r>
    </w:p>
    <w:p w14:paraId="7C330E59" w14:textId="77777777" w:rsidR="00ED042B" w:rsidRDefault="00ED042B" w:rsidP="00ED042B">
      <w:pPr>
        <w:widowControl w:val="0"/>
        <w:autoSpaceDE w:val="0"/>
        <w:autoSpaceDN w:val="0"/>
        <w:adjustRightInd w:val="0"/>
      </w:pPr>
    </w:p>
    <w:p w14:paraId="026166DA" w14:textId="1B9997CB" w:rsidR="00ED042B" w:rsidRPr="00D55B37" w:rsidRDefault="005918B0" w:rsidP="00613986">
      <w:pPr>
        <w:pStyle w:val="JCARSourceNote"/>
        <w:ind w:firstLine="720"/>
      </w:pPr>
      <w:r w:rsidRPr="00D55B37">
        <w:t xml:space="preserve">(Source:  Added at </w:t>
      </w:r>
      <w:r>
        <w:t>11</w:t>
      </w:r>
      <w:r w:rsidRPr="00D55B37">
        <w:t xml:space="preserve"> Ill. Reg. </w:t>
      </w:r>
      <w:r>
        <w:t>17782,</w:t>
      </w:r>
      <w:r w:rsidRPr="00D55B37">
        <w:t xml:space="preserve"> effective </w:t>
      </w:r>
      <w:r>
        <w:t>October 16, 1987)</w:t>
      </w:r>
    </w:p>
    <w:sectPr w:rsidR="00ED042B" w:rsidRPr="00D55B37" w:rsidSect="00ED042B">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042B"/>
    <w:rsid w:val="002348EA"/>
    <w:rsid w:val="004241F8"/>
    <w:rsid w:val="005918B0"/>
    <w:rsid w:val="00613986"/>
    <w:rsid w:val="00795F8D"/>
    <w:rsid w:val="00A81875"/>
    <w:rsid w:val="00AA31CB"/>
    <w:rsid w:val="00CE7355"/>
    <w:rsid w:val="00D55B37"/>
    <w:rsid w:val="00E41071"/>
    <w:rsid w:val="00ED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DBD100"/>
  <w15:docId w15:val="{603D1C6A-811B-45E8-8D6F-E3264BEA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Shipley, Melissa A.</cp:lastModifiedBy>
  <cp:revision>4</cp:revision>
  <dcterms:created xsi:type="dcterms:W3CDTF">2012-06-21T20:00:00Z</dcterms:created>
  <dcterms:modified xsi:type="dcterms:W3CDTF">2025-09-29T15:14:00Z</dcterms:modified>
</cp:coreProperties>
</file>