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F0" w:rsidRDefault="00ED26F0" w:rsidP="008620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26F0" w:rsidRDefault="00ED26F0" w:rsidP="008620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790.340  Pricing</w:t>
      </w:r>
      <w:r>
        <w:t xml:space="preserve"> </w:t>
      </w:r>
    </w:p>
    <w:p w:rsidR="00ED26F0" w:rsidRDefault="00ED26F0" w:rsidP="00862016">
      <w:pPr>
        <w:widowControl w:val="0"/>
        <w:autoSpaceDE w:val="0"/>
        <w:autoSpaceDN w:val="0"/>
        <w:adjustRightInd w:val="0"/>
      </w:pPr>
    </w:p>
    <w:p w:rsidR="00ED26F0" w:rsidRDefault="00ED26F0" w:rsidP="00862016">
      <w:pPr>
        <w:widowControl w:val="0"/>
        <w:autoSpaceDE w:val="0"/>
        <w:autoSpaceDN w:val="0"/>
        <w:adjustRightInd w:val="0"/>
      </w:pPr>
      <w:r>
        <w:t xml:space="preserve">An </w:t>
      </w:r>
      <w:proofErr w:type="spellStart"/>
      <w:r>
        <w:t>ILEC's</w:t>
      </w:r>
      <w:proofErr w:type="spellEnd"/>
      <w:r>
        <w:t xml:space="preserve"> rates for interconnection, unbundled network elements, and collocation (collectively "components"), for purposes of pricing components under Sections 790.310, 790.320, and 790.330, shall equal the forward-looking economic cost of the component, where the forward-looking economic cost equals the sum of the total element long-run incremental cost of the component and a reasonable allocation of forward-looking joint and common costs, as defined by the FCC and determined by the Commission. </w:t>
      </w:r>
    </w:p>
    <w:sectPr w:rsidR="00ED26F0" w:rsidSect="0086201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6F0"/>
    <w:rsid w:val="00862016"/>
    <w:rsid w:val="00A136AF"/>
    <w:rsid w:val="00B11170"/>
    <w:rsid w:val="00B953ED"/>
    <w:rsid w:val="00E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