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66C" w:rsidRDefault="00D5266C" w:rsidP="00352E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266C" w:rsidRDefault="00D5266C" w:rsidP="00352E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790.200  Applicability of Subpart B</w:t>
      </w:r>
      <w:r>
        <w:t xml:space="preserve"> </w:t>
      </w:r>
    </w:p>
    <w:p w:rsidR="00D5266C" w:rsidRDefault="00D5266C" w:rsidP="00352ED6">
      <w:pPr>
        <w:widowControl w:val="0"/>
        <w:autoSpaceDE w:val="0"/>
        <w:autoSpaceDN w:val="0"/>
        <w:adjustRightInd w:val="0"/>
      </w:pPr>
    </w:p>
    <w:p w:rsidR="00D5266C" w:rsidRDefault="00D5266C" w:rsidP="00352ED6">
      <w:pPr>
        <w:widowControl w:val="0"/>
        <w:autoSpaceDE w:val="0"/>
        <w:autoSpaceDN w:val="0"/>
        <w:adjustRightInd w:val="0"/>
      </w:pPr>
      <w:r>
        <w:t xml:space="preserve">This Subpart shall apply to any telecommunications carrier, as defined in Section 13-202 of the Act, providing local exchange telecommunications services as defined in Section 13-204 of the Act. In addition, this Subpart shall apply to any entity certificated by the Commission under Section 13-401, 13-403, 13-404, or 13-405 of the Act. </w:t>
      </w:r>
    </w:p>
    <w:sectPr w:rsidR="00D5266C" w:rsidSect="00352ED6">
      <w:pgSz w:w="12240" w:h="15840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266C"/>
    <w:rsid w:val="001E7E47"/>
    <w:rsid w:val="00352ED6"/>
    <w:rsid w:val="008611B4"/>
    <w:rsid w:val="009B3770"/>
    <w:rsid w:val="00A136AF"/>
    <w:rsid w:val="00D5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MessingerRR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