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C6" w:rsidRDefault="008B28C6" w:rsidP="008B28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8C6" w:rsidRDefault="008B28C6" w:rsidP="008B28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772.130  Generation of Signalling Tones</w:t>
      </w:r>
      <w:r>
        <w:t xml:space="preserve"> </w:t>
      </w:r>
    </w:p>
    <w:p w:rsidR="008B28C6" w:rsidRDefault="008B28C6" w:rsidP="008B28C6">
      <w:pPr>
        <w:widowControl w:val="0"/>
        <w:autoSpaceDE w:val="0"/>
        <w:autoSpaceDN w:val="0"/>
        <w:adjustRightInd w:val="0"/>
      </w:pPr>
    </w:p>
    <w:p w:rsidR="008B28C6" w:rsidRDefault="008B28C6" w:rsidP="008B28C6">
      <w:pPr>
        <w:widowControl w:val="0"/>
        <w:autoSpaceDE w:val="0"/>
        <w:autoSpaceDN w:val="0"/>
        <w:adjustRightInd w:val="0"/>
      </w:pPr>
      <w:r>
        <w:t xml:space="preserve">No telecommunications carrier shall assign a telephone number or abbreviated dialing code for any pay-per-call service which employs broadcast advertising which generates the audible tones necessary to complete a call to a pay-per-call service. </w:t>
      </w:r>
    </w:p>
    <w:p w:rsidR="008B28C6" w:rsidRDefault="008B28C6" w:rsidP="008B28C6">
      <w:pPr>
        <w:widowControl w:val="0"/>
        <w:autoSpaceDE w:val="0"/>
        <w:autoSpaceDN w:val="0"/>
        <w:adjustRightInd w:val="0"/>
      </w:pPr>
    </w:p>
    <w:p w:rsidR="008B28C6" w:rsidRDefault="008B28C6" w:rsidP="008B28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1192, effective January 1, 1998) </w:t>
      </w:r>
    </w:p>
    <w:sectPr w:rsidR="008B28C6" w:rsidSect="008B2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8C6"/>
    <w:rsid w:val="000D7E5F"/>
    <w:rsid w:val="005C3366"/>
    <w:rsid w:val="008B28C6"/>
    <w:rsid w:val="00D349BA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