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A0642A" w:rsidRDefault="00A0642A" w:rsidP="00A0642A">
      <w:pPr>
        <w:jc w:val="center"/>
        <w:rPr>
          <w:szCs w:val="24"/>
        </w:rPr>
      </w:pPr>
      <w:r>
        <w:rPr>
          <w:szCs w:val="24"/>
        </w:rPr>
        <w:t>SUBPART C:  STANDARDS OF QUALITY OF SERVICE</w:t>
      </w:r>
    </w:p>
    <w:sectPr w:rsidR="00A0642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3C" w:rsidRDefault="00A96F3C">
      <w:r>
        <w:separator/>
      </w:r>
    </w:p>
  </w:endnote>
  <w:endnote w:type="continuationSeparator" w:id="0">
    <w:p w:rsidR="00A96F3C" w:rsidRDefault="00A9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3C" w:rsidRDefault="00A96F3C">
      <w:r>
        <w:separator/>
      </w:r>
    </w:p>
  </w:footnote>
  <w:footnote w:type="continuationSeparator" w:id="0">
    <w:p w:rsidR="00A96F3C" w:rsidRDefault="00A9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452E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1523A"/>
    <w:rsid w:val="006176B0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05DE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42A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6F3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452E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42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42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