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8FF" w:rsidRDefault="00F968FF" w:rsidP="00F968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968FF" w:rsidRDefault="00F968FF" w:rsidP="00F968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712.335  Projected Regulated/</w:t>
      </w:r>
      <w:proofErr w:type="spellStart"/>
      <w:r>
        <w:rPr>
          <w:b/>
          <w:bCs/>
        </w:rPr>
        <w:t>Nonregulated</w:t>
      </w:r>
      <w:proofErr w:type="spellEnd"/>
      <w:r>
        <w:rPr>
          <w:b/>
          <w:bCs/>
        </w:rPr>
        <w:t xml:space="preserve"> Shared Usage</w:t>
      </w:r>
      <w:r>
        <w:t xml:space="preserve"> </w:t>
      </w:r>
    </w:p>
    <w:p w:rsidR="00F968FF" w:rsidRDefault="00F968FF" w:rsidP="00F968FF">
      <w:pPr>
        <w:widowControl w:val="0"/>
        <w:autoSpaceDE w:val="0"/>
        <w:autoSpaceDN w:val="0"/>
        <w:adjustRightInd w:val="0"/>
      </w:pPr>
    </w:p>
    <w:p w:rsidR="00F968FF" w:rsidRDefault="00F968FF" w:rsidP="00F968F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costs of network investment which is shared by both regulated and </w:t>
      </w:r>
      <w:proofErr w:type="spellStart"/>
      <w:r>
        <w:t>nonregulated</w:t>
      </w:r>
      <w:proofErr w:type="spellEnd"/>
      <w:r>
        <w:t xml:space="preserve"> services are normally recovered on the basis of tariff rates. Any shared investment which is not utilized at tariff rates is apportioned on the basis of peak projected </w:t>
      </w:r>
      <w:proofErr w:type="spellStart"/>
      <w:r>
        <w:t>nonregulated</w:t>
      </w:r>
      <w:proofErr w:type="spellEnd"/>
      <w:r>
        <w:t xml:space="preserve"> usage. </w:t>
      </w:r>
    </w:p>
    <w:p w:rsidR="00387EA9" w:rsidRDefault="00387EA9" w:rsidP="00F968FF">
      <w:pPr>
        <w:widowControl w:val="0"/>
        <w:autoSpaceDE w:val="0"/>
        <w:autoSpaceDN w:val="0"/>
        <w:adjustRightInd w:val="0"/>
        <w:ind w:left="1440" w:hanging="720"/>
      </w:pPr>
    </w:p>
    <w:p w:rsidR="00F968FF" w:rsidRDefault="00F968FF" w:rsidP="00F968F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forecasting process is completed annually for each cost pool and uses a three year forecasting period.  During each forecast, the highest level of forecast </w:t>
      </w:r>
      <w:proofErr w:type="spellStart"/>
      <w:r>
        <w:t>nonregulated</w:t>
      </w:r>
      <w:proofErr w:type="spellEnd"/>
      <w:r>
        <w:t xml:space="preserve"> usage is determined and used to apportion the costs of investment.  When the tracking process identifies a variance between forecast and actual usage, a reconciliation shall be required.  If actual </w:t>
      </w:r>
      <w:proofErr w:type="spellStart"/>
      <w:r>
        <w:t>nonregulated</w:t>
      </w:r>
      <w:proofErr w:type="spellEnd"/>
      <w:r>
        <w:t xml:space="preserve"> usage has been greater than the cumulative forecast, additional investment is to be transferred from the regulated activities. </w:t>
      </w:r>
    </w:p>
    <w:p w:rsidR="00387EA9" w:rsidRDefault="00387EA9" w:rsidP="00F968FF">
      <w:pPr>
        <w:widowControl w:val="0"/>
        <w:autoSpaceDE w:val="0"/>
        <w:autoSpaceDN w:val="0"/>
        <w:adjustRightInd w:val="0"/>
        <w:ind w:left="1440" w:hanging="720"/>
      </w:pPr>
    </w:p>
    <w:p w:rsidR="00F968FF" w:rsidRDefault="00F968FF" w:rsidP="00F968F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forecasting of usage is the basis for the apportionment of the Shared Cost Pools in the following accounts. </w:t>
      </w:r>
    </w:p>
    <w:p w:rsidR="00387EA9" w:rsidRDefault="00387EA9" w:rsidP="00F968FF">
      <w:pPr>
        <w:widowControl w:val="0"/>
        <w:autoSpaceDE w:val="0"/>
        <w:autoSpaceDN w:val="0"/>
        <w:adjustRightInd w:val="0"/>
        <w:ind w:left="2160" w:hanging="720"/>
      </w:pPr>
    </w:p>
    <w:p w:rsidR="00F968FF" w:rsidRDefault="00F968FF" w:rsidP="00F968F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2210 Central Office Switching </w:t>
      </w:r>
    </w:p>
    <w:p w:rsidR="00387EA9" w:rsidRDefault="00387EA9" w:rsidP="00F968FF">
      <w:pPr>
        <w:widowControl w:val="0"/>
        <w:autoSpaceDE w:val="0"/>
        <w:autoSpaceDN w:val="0"/>
        <w:adjustRightInd w:val="0"/>
        <w:ind w:left="2160" w:hanging="720"/>
      </w:pPr>
    </w:p>
    <w:p w:rsidR="00F968FF" w:rsidRDefault="00F968FF" w:rsidP="00F968F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2220 Operator Systems </w:t>
      </w:r>
    </w:p>
    <w:p w:rsidR="00387EA9" w:rsidRDefault="00387EA9" w:rsidP="00F968FF">
      <w:pPr>
        <w:widowControl w:val="0"/>
        <w:autoSpaceDE w:val="0"/>
        <w:autoSpaceDN w:val="0"/>
        <w:adjustRightInd w:val="0"/>
        <w:ind w:left="2160" w:hanging="720"/>
      </w:pPr>
    </w:p>
    <w:p w:rsidR="00F968FF" w:rsidRDefault="00F968FF" w:rsidP="00F968F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2230 Central Office Transmission </w:t>
      </w:r>
    </w:p>
    <w:p w:rsidR="00387EA9" w:rsidRDefault="00387EA9" w:rsidP="00F968FF">
      <w:pPr>
        <w:widowControl w:val="0"/>
        <w:autoSpaceDE w:val="0"/>
        <w:autoSpaceDN w:val="0"/>
        <w:adjustRightInd w:val="0"/>
        <w:ind w:left="2160" w:hanging="720"/>
      </w:pPr>
    </w:p>
    <w:p w:rsidR="00F968FF" w:rsidRDefault="00F968FF" w:rsidP="00F968FF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Account 2410 Cable and Wire Facilities </w:t>
      </w:r>
    </w:p>
    <w:sectPr w:rsidR="00F968FF" w:rsidSect="00F968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68FF"/>
    <w:rsid w:val="00387EA9"/>
    <w:rsid w:val="005C3366"/>
    <w:rsid w:val="00992FA9"/>
    <w:rsid w:val="009A478D"/>
    <w:rsid w:val="00DB4481"/>
    <w:rsid w:val="00F9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