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CE" w:rsidRDefault="000700CE" w:rsidP="00070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0CE" w:rsidRDefault="000700CE" w:rsidP="000700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712.265  Property Record Analysis</w:t>
      </w:r>
      <w:r>
        <w:t xml:space="preserve"> </w:t>
      </w:r>
    </w:p>
    <w:p w:rsidR="000700CE" w:rsidRDefault="000700CE" w:rsidP="000700CE">
      <w:pPr>
        <w:widowControl w:val="0"/>
        <w:autoSpaceDE w:val="0"/>
        <w:autoSpaceDN w:val="0"/>
        <w:adjustRightInd w:val="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property records of the company facilitate the disaggregation of the account so that direct assignment to regulated and </w:t>
      </w:r>
      <w:proofErr w:type="spellStart"/>
      <w:r>
        <w:t>nonregulated</w:t>
      </w:r>
      <w:proofErr w:type="spellEnd"/>
      <w:r>
        <w:t xml:space="preserve"> services can be maximized.  In many cases, investment which is dedicated to the regulated and </w:t>
      </w:r>
      <w:proofErr w:type="spellStart"/>
      <w:r>
        <w:t>nonregulated</w:t>
      </w:r>
      <w:proofErr w:type="spellEnd"/>
      <w:r>
        <w:t xml:space="preserve"> services can be identified through these records or through unique subaccounts.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144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details in a company's property records or subaccounts are used to apportion the following accounts into cost pools: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216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2210 Central Office Switching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216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2220 Operators Systems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216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2230 Central Office </w:t>
      </w:r>
      <w:r w:rsidR="007B3806">
        <w:t xml:space="preserve">– </w:t>
      </w:r>
      <w:r>
        <w:t xml:space="preserve">Transmission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216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2310 Information Origination/Termination </w:t>
      </w:r>
    </w:p>
    <w:p w:rsidR="006C245C" w:rsidRDefault="006C245C" w:rsidP="000700CE">
      <w:pPr>
        <w:widowControl w:val="0"/>
        <w:autoSpaceDE w:val="0"/>
        <w:autoSpaceDN w:val="0"/>
        <w:adjustRightInd w:val="0"/>
        <w:ind w:left="2160" w:hanging="720"/>
      </w:pPr>
    </w:p>
    <w:p w:rsidR="000700CE" w:rsidRDefault="000700CE" w:rsidP="000700C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2410 Cable and Wire Facilities </w:t>
      </w:r>
    </w:p>
    <w:sectPr w:rsidR="000700CE" w:rsidSect="00070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0CE"/>
    <w:rsid w:val="00033AAB"/>
    <w:rsid w:val="000700CE"/>
    <w:rsid w:val="005C3366"/>
    <w:rsid w:val="006C245C"/>
    <w:rsid w:val="007B3806"/>
    <w:rsid w:val="00920F11"/>
    <w:rsid w:val="00D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