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B9" w:rsidRDefault="008B4FB9" w:rsidP="008B4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FB9" w:rsidRDefault="008B4FB9" w:rsidP="008B4F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712.105  Cost Apportionment</w:t>
      </w:r>
      <w:r>
        <w:t xml:space="preserve"> </w:t>
      </w:r>
    </w:p>
    <w:p w:rsidR="008B4FB9" w:rsidRDefault="008B4FB9" w:rsidP="008B4FB9">
      <w:pPr>
        <w:widowControl w:val="0"/>
        <w:autoSpaceDE w:val="0"/>
        <w:autoSpaceDN w:val="0"/>
        <w:adjustRightInd w:val="0"/>
      </w:pPr>
    </w:p>
    <w:p w:rsidR="008B4FB9" w:rsidRDefault="008B4FB9" w:rsidP="008B4FB9">
      <w:pPr>
        <w:widowControl w:val="0"/>
        <w:autoSpaceDE w:val="0"/>
        <w:autoSpaceDN w:val="0"/>
        <w:adjustRightInd w:val="0"/>
      </w:pPr>
      <w:r>
        <w:t xml:space="preserve">The cost apportionment methodology is presented in Subpart E.  Subpart E is organized as follows: </w:t>
      </w:r>
    </w:p>
    <w:p w:rsidR="00536EEC" w:rsidRDefault="00536EEC" w:rsidP="008B4FB9">
      <w:pPr>
        <w:widowControl w:val="0"/>
        <w:autoSpaceDE w:val="0"/>
        <w:autoSpaceDN w:val="0"/>
        <w:adjustRightInd w:val="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Heading of Sections:  Part 710 account number and description which is to be apportioned (see 83 Ill. Adm. Code 710). </w:t>
      </w:r>
    </w:p>
    <w:p w:rsidR="00536EEC" w:rsidRDefault="00536EEC" w:rsidP="008B4FB9">
      <w:pPr>
        <w:widowControl w:val="0"/>
        <w:autoSpaceDE w:val="0"/>
        <w:autoSpaceDN w:val="0"/>
        <w:adjustRightInd w:val="0"/>
        <w:ind w:left="1440" w:hanging="72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Pools.  Cost pool(s) into which the account is apportioned. </w:t>
      </w:r>
    </w:p>
    <w:p w:rsidR="00536EEC" w:rsidRDefault="00536EEC" w:rsidP="008B4FB9">
      <w:pPr>
        <w:widowControl w:val="0"/>
        <w:autoSpaceDE w:val="0"/>
        <w:autoSpaceDN w:val="0"/>
        <w:adjustRightInd w:val="0"/>
        <w:ind w:left="1440" w:hanging="72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 Pool Apportionment Basis:  Method for apportioning the account into the specified cost pools (see Section 712.200). </w:t>
      </w:r>
    </w:p>
    <w:p w:rsidR="00536EEC" w:rsidRDefault="00536EEC" w:rsidP="008B4FB9">
      <w:pPr>
        <w:widowControl w:val="0"/>
        <w:autoSpaceDE w:val="0"/>
        <w:autoSpaceDN w:val="0"/>
        <w:adjustRightInd w:val="0"/>
        <w:ind w:left="1440" w:hanging="72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Method for apportioning the defined cost pools into a regulated and </w:t>
      </w:r>
      <w:proofErr w:type="spellStart"/>
      <w:r>
        <w:t>nonregulated</w:t>
      </w:r>
      <w:proofErr w:type="spellEnd"/>
      <w:r>
        <w:t xml:space="preserve"> component (see Section 712.280). </w:t>
      </w:r>
    </w:p>
    <w:p w:rsidR="00536EEC" w:rsidRDefault="00536EEC" w:rsidP="008B4FB9">
      <w:pPr>
        <w:widowControl w:val="0"/>
        <w:autoSpaceDE w:val="0"/>
        <w:autoSpaceDN w:val="0"/>
        <w:adjustRightInd w:val="0"/>
        <w:ind w:left="1440" w:hanging="72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Cost Definition:  Characteristics of the costs apportioned to regulated and </w:t>
      </w:r>
      <w:proofErr w:type="spellStart"/>
      <w:r>
        <w:t>nonregulated</w:t>
      </w:r>
      <w:proofErr w:type="spellEnd"/>
      <w:r>
        <w:t xml:space="preserve"> services (see Section 712.110). </w:t>
      </w:r>
    </w:p>
    <w:p w:rsidR="00536EEC" w:rsidRDefault="00536EEC" w:rsidP="008B4FB9">
      <w:pPr>
        <w:widowControl w:val="0"/>
        <w:autoSpaceDE w:val="0"/>
        <w:autoSpaceDN w:val="0"/>
        <w:adjustRightInd w:val="0"/>
        <w:ind w:left="1440" w:hanging="720"/>
      </w:pPr>
    </w:p>
    <w:p w:rsidR="008B4FB9" w:rsidRDefault="008B4FB9" w:rsidP="008B4FB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Comments:  Additional narrative included as appropriate to explain the methodology. </w:t>
      </w:r>
    </w:p>
    <w:sectPr w:rsidR="008B4FB9" w:rsidSect="008B4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FB9"/>
    <w:rsid w:val="00536EEC"/>
    <w:rsid w:val="005C3366"/>
    <w:rsid w:val="008B4FB9"/>
    <w:rsid w:val="00C95C8E"/>
    <w:rsid w:val="00F16BE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