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D55" w:rsidRDefault="00D06D55" w:rsidP="00D06D55">
      <w:pPr>
        <w:widowControl w:val="0"/>
        <w:autoSpaceDE w:val="0"/>
        <w:autoSpaceDN w:val="0"/>
        <w:adjustRightInd w:val="0"/>
      </w:pPr>
    </w:p>
    <w:p w:rsidR="00D06D55" w:rsidRDefault="00D06D55" w:rsidP="00D06D55">
      <w:pPr>
        <w:widowControl w:val="0"/>
        <w:autoSpaceDE w:val="0"/>
        <w:autoSpaceDN w:val="0"/>
        <w:adjustRightInd w:val="0"/>
      </w:pPr>
      <w:r>
        <w:rPr>
          <w:b/>
          <w:bCs/>
        </w:rPr>
        <w:t>Section 656.60  Determination of the Qualifying Infrastructure Plant Surcharge Percentage</w:t>
      </w:r>
      <w:r>
        <w:t xml:space="preserve"> </w:t>
      </w:r>
    </w:p>
    <w:p w:rsidR="00D06D55" w:rsidRDefault="00D06D55" w:rsidP="00D06D55">
      <w:pPr>
        <w:widowControl w:val="0"/>
        <w:autoSpaceDE w:val="0"/>
        <w:autoSpaceDN w:val="0"/>
        <w:adjustRightInd w:val="0"/>
      </w:pPr>
    </w:p>
    <w:p w:rsidR="00D06D55" w:rsidRDefault="00D06D55" w:rsidP="00D06D55">
      <w:pPr>
        <w:widowControl w:val="0"/>
        <w:autoSpaceDE w:val="0"/>
        <w:autoSpaceDN w:val="0"/>
        <w:adjustRightInd w:val="0"/>
        <w:ind w:left="1440" w:hanging="720"/>
      </w:pPr>
      <w:r>
        <w:t>a)</w:t>
      </w:r>
      <w:r>
        <w:tab/>
        <w:t xml:space="preserve">The QIP surcharge percentage shall be expressed as a percentage carried to two decimal places. The QIP surcharge percentage shall be applied to the total amount billed to each customer located in the same rate zone based on the utility's otherwise applicable rates and charges. The QIP surcharge percentage shall not be applied to the exclusions listed in Section 656.30(a). </w:t>
      </w:r>
    </w:p>
    <w:p w:rsidR="00135B09" w:rsidRDefault="00135B09" w:rsidP="00D06D55">
      <w:pPr>
        <w:widowControl w:val="0"/>
        <w:autoSpaceDE w:val="0"/>
        <w:autoSpaceDN w:val="0"/>
        <w:adjustRightInd w:val="0"/>
        <w:ind w:left="1440" w:hanging="720"/>
      </w:pPr>
    </w:p>
    <w:p w:rsidR="00D06D55" w:rsidRDefault="00D06D55" w:rsidP="00D06D55">
      <w:pPr>
        <w:widowControl w:val="0"/>
        <w:autoSpaceDE w:val="0"/>
        <w:autoSpaceDN w:val="0"/>
        <w:adjustRightInd w:val="0"/>
        <w:ind w:left="1440" w:hanging="720"/>
      </w:pPr>
      <w:r>
        <w:t>b)</w:t>
      </w:r>
      <w:r>
        <w:tab/>
        <w:t xml:space="preserve">In calculating the QIP surcharge percentage, the utility may choose either annual prospective operation or quarterly historical operation based on QIP investment data for a prior three-month period. Annual prospective operation may be selected only if the utility's immediately preceding rate case </w:t>
      </w:r>
      <w:r w:rsidR="00546F90">
        <w:t xml:space="preserve">for the rate zone </w:t>
      </w:r>
      <w:r>
        <w:t xml:space="preserve">utilized a future test year as defined in 83 Ill. Adm. Code </w:t>
      </w:r>
      <w:r w:rsidR="00546F90">
        <w:t>287</w:t>
      </w:r>
      <w:r>
        <w:t xml:space="preserve"> and the utility submits the information required by Section 656.70(d)(</w:t>
      </w:r>
      <w:r w:rsidR="00293CD7">
        <w:t>7</w:t>
      </w:r>
      <w:r>
        <w:t xml:space="preserve">). </w:t>
      </w:r>
    </w:p>
    <w:p w:rsidR="00135B09" w:rsidRDefault="00135B09" w:rsidP="00D06D55">
      <w:pPr>
        <w:widowControl w:val="0"/>
        <w:autoSpaceDE w:val="0"/>
        <w:autoSpaceDN w:val="0"/>
        <w:adjustRightInd w:val="0"/>
        <w:ind w:left="2160" w:hanging="720"/>
      </w:pPr>
    </w:p>
    <w:p w:rsidR="00D06D55" w:rsidRDefault="00D06D55" w:rsidP="00D06D55">
      <w:pPr>
        <w:widowControl w:val="0"/>
        <w:autoSpaceDE w:val="0"/>
        <w:autoSpaceDN w:val="0"/>
        <w:adjustRightInd w:val="0"/>
        <w:ind w:left="2160" w:hanging="720"/>
      </w:pPr>
      <w:r>
        <w:t>1)</w:t>
      </w:r>
      <w:r>
        <w:tab/>
        <w:t xml:space="preserve">Annual Prospective Operation </w:t>
      </w:r>
    </w:p>
    <w:p w:rsidR="00D06D55" w:rsidRDefault="00D06D55" w:rsidP="004A74D5">
      <w:pPr>
        <w:widowControl w:val="0"/>
        <w:autoSpaceDE w:val="0"/>
        <w:autoSpaceDN w:val="0"/>
        <w:adjustRightInd w:val="0"/>
        <w:ind w:left="2160"/>
      </w:pPr>
      <w:r>
        <w:t xml:space="preserve">Utilities choosing annual prospective operation shall determine the QIP surcharge percentage for the operation year using the following formula: </w:t>
      </w:r>
    </w:p>
    <w:p w:rsidR="004A74D5" w:rsidRDefault="004A74D5" w:rsidP="00D06D55">
      <w:pPr>
        <w:widowControl w:val="0"/>
        <w:autoSpaceDE w:val="0"/>
        <w:autoSpaceDN w:val="0"/>
        <w:adjustRightInd w:val="0"/>
        <w:ind w:left="2160" w:hanging="720"/>
      </w:pPr>
    </w:p>
    <w:tbl>
      <w:tblPr>
        <w:tblW w:w="7713" w:type="dxa"/>
        <w:tblInd w:w="1647" w:type="dxa"/>
        <w:tblLayout w:type="fixed"/>
        <w:tblLook w:val="0000" w:firstRow="0" w:lastRow="0" w:firstColumn="0" w:lastColumn="0" w:noHBand="0" w:noVBand="0"/>
      </w:tblPr>
      <w:tblGrid>
        <w:gridCol w:w="560"/>
        <w:gridCol w:w="236"/>
        <w:gridCol w:w="5873"/>
        <w:gridCol w:w="1044"/>
      </w:tblGrid>
      <w:tr w:rsidR="0041057F" w:rsidTr="0041057F">
        <w:trPr>
          <w:trHeight w:val="693"/>
        </w:trPr>
        <w:tc>
          <w:tcPr>
            <w:tcW w:w="560" w:type="dxa"/>
            <w:vMerge w:val="restart"/>
            <w:vAlign w:val="center"/>
          </w:tcPr>
          <w:p w:rsidR="0041057F" w:rsidRPr="0041057F" w:rsidRDefault="0041057F" w:rsidP="0041057F">
            <w:pPr>
              <w:widowControl w:val="0"/>
              <w:autoSpaceDE w:val="0"/>
              <w:autoSpaceDN w:val="0"/>
              <w:adjustRightInd w:val="0"/>
              <w:jc w:val="right"/>
              <w:rPr>
                <w:sz w:val="28"/>
                <w:szCs w:val="28"/>
              </w:rPr>
            </w:pPr>
          </w:p>
          <w:p w:rsidR="0041057F" w:rsidRPr="006A7AF9" w:rsidRDefault="0041057F" w:rsidP="0041057F">
            <w:pPr>
              <w:widowControl w:val="0"/>
              <w:autoSpaceDE w:val="0"/>
              <w:autoSpaceDN w:val="0"/>
              <w:adjustRightInd w:val="0"/>
              <w:jc w:val="right"/>
            </w:pPr>
            <w:r w:rsidRPr="006A7AF9">
              <w:t>S%</w:t>
            </w:r>
          </w:p>
        </w:tc>
        <w:tc>
          <w:tcPr>
            <w:tcW w:w="236" w:type="dxa"/>
            <w:vMerge w:val="restart"/>
            <w:vAlign w:val="center"/>
          </w:tcPr>
          <w:p w:rsidR="0041057F" w:rsidRPr="0041057F" w:rsidRDefault="0041057F" w:rsidP="0041057F">
            <w:pPr>
              <w:widowControl w:val="0"/>
              <w:autoSpaceDE w:val="0"/>
              <w:autoSpaceDN w:val="0"/>
              <w:adjustRightInd w:val="0"/>
              <w:ind w:left="-110" w:right="-113"/>
              <w:jc w:val="center"/>
              <w:rPr>
                <w:sz w:val="28"/>
                <w:szCs w:val="28"/>
              </w:rPr>
            </w:pPr>
          </w:p>
          <w:p w:rsidR="0041057F" w:rsidRDefault="0041057F" w:rsidP="0041057F">
            <w:pPr>
              <w:widowControl w:val="0"/>
              <w:autoSpaceDE w:val="0"/>
              <w:autoSpaceDN w:val="0"/>
              <w:adjustRightInd w:val="0"/>
              <w:ind w:left="-110" w:right="-113"/>
              <w:jc w:val="center"/>
            </w:pPr>
            <w:r>
              <w:t>=</w:t>
            </w:r>
          </w:p>
        </w:tc>
        <w:tc>
          <w:tcPr>
            <w:tcW w:w="5873" w:type="dxa"/>
            <w:tcBorders>
              <w:bottom w:val="single" w:sz="4" w:space="0" w:color="auto"/>
            </w:tcBorders>
            <w:vAlign w:val="center"/>
          </w:tcPr>
          <w:p w:rsidR="0041057F" w:rsidRPr="006A7AF9" w:rsidRDefault="0041057F" w:rsidP="0041057F">
            <w:pPr>
              <w:widowControl w:val="0"/>
              <w:autoSpaceDE w:val="0"/>
              <w:autoSpaceDN w:val="0"/>
              <w:adjustRightInd w:val="0"/>
              <w:ind w:left="-274" w:right="-117"/>
              <w:jc w:val="center"/>
            </w:pPr>
            <w:r>
              <w:t>(</w:t>
            </w:r>
            <w:r w:rsidRPr="00FD59CA">
              <w:t>(</w:t>
            </w:r>
            <w:r w:rsidRPr="006A7AF9">
              <w:t xml:space="preserve">NetQIP </w:t>
            </w:r>
            <w:r w:rsidRPr="00FD59CA">
              <w:t xml:space="preserve">+ AdjNetQIP) </w:t>
            </w:r>
            <w:r w:rsidRPr="006A7AF9">
              <w:t>x PTR)</w:t>
            </w:r>
            <w:r>
              <w:t xml:space="preserve"> </w:t>
            </w:r>
            <w:r w:rsidRPr="006A7AF9">
              <w:t xml:space="preserve">+ </w:t>
            </w:r>
            <w:r>
              <w:t>(</w:t>
            </w:r>
            <w:r w:rsidRPr="006A7AF9">
              <w:t xml:space="preserve">Net Dep </w:t>
            </w:r>
            <w:r>
              <w:t xml:space="preserve">+ AdjNetDep) </w:t>
            </w:r>
            <w:r w:rsidRPr="006A7AF9">
              <w:t>+ (R x 1.33) + ((O + INT) x Om)</w:t>
            </w:r>
          </w:p>
        </w:tc>
        <w:tc>
          <w:tcPr>
            <w:tcW w:w="1044" w:type="dxa"/>
            <w:vMerge w:val="restart"/>
            <w:vAlign w:val="center"/>
          </w:tcPr>
          <w:p w:rsidR="0041057F" w:rsidRDefault="0041057F" w:rsidP="0041057F">
            <w:pPr>
              <w:widowControl w:val="0"/>
              <w:tabs>
                <w:tab w:val="left" w:pos="1125"/>
              </w:tabs>
              <w:autoSpaceDE w:val="0"/>
              <w:autoSpaceDN w:val="0"/>
              <w:adjustRightInd w:val="0"/>
              <w:ind w:left="-274" w:right="-81"/>
              <w:jc w:val="center"/>
            </w:pPr>
          </w:p>
          <w:p w:rsidR="0041057F" w:rsidRPr="006A7AF9" w:rsidRDefault="0041057F" w:rsidP="0041057F">
            <w:pPr>
              <w:widowControl w:val="0"/>
              <w:tabs>
                <w:tab w:val="left" w:pos="1125"/>
              </w:tabs>
              <w:autoSpaceDE w:val="0"/>
              <w:autoSpaceDN w:val="0"/>
              <w:adjustRightInd w:val="0"/>
              <w:ind w:left="-274" w:right="-81"/>
              <w:jc w:val="center"/>
            </w:pPr>
            <w:r>
              <w:t>x 100%</w:t>
            </w:r>
          </w:p>
        </w:tc>
      </w:tr>
      <w:tr w:rsidR="0041057F" w:rsidTr="0041057F">
        <w:trPr>
          <w:trHeight w:val="80"/>
        </w:trPr>
        <w:tc>
          <w:tcPr>
            <w:tcW w:w="560" w:type="dxa"/>
            <w:vMerge/>
          </w:tcPr>
          <w:p w:rsidR="0041057F" w:rsidRDefault="0041057F" w:rsidP="00D06D55">
            <w:pPr>
              <w:widowControl w:val="0"/>
              <w:autoSpaceDE w:val="0"/>
              <w:autoSpaceDN w:val="0"/>
              <w:adjustRightInd w:val="0"/>
              <w:rPr>
                <w:u w:val="single"/>
              </w:rPr>
            </w:pPr>
          </w:p>
        </w:tc>
        <w:tc>
          <w:tcPr>
            <w:tcW w:w="236" w:type="dxa"/>
            <w:vMerge/>
          </w:tcPr>
          <w:p w:rsidR="0041057F" w:rsidRDefault="0041057F" w:rsidP="0041057F">
            <w:pPr>
              <w:widowControl w:val="0"/>
              <w:autoSpaceDE w:val="0"/>
              <w:autoSpaceDN w:val="0"/>
              <w:adjustRightInd w:val="0"/>
              <w:ind w:left="-110"/>
            </w:pPr>
          </w:p>
        </w:tc>
        <w:tc>
          <w:tcPr>
            <w:tcW w:w="5873" w:type="dxa"/>
            <w:tcBorders>
              <w:top w:val="single" w:sz="4" w:space="0" w:color="auto"/>
            </w:tcBorders>
          </w:tcPr>
          <w:p w:rsidR="0041057F" w:rsidRPr="0041057F" w:rsidRDefault="0041057F" w:rsidP="006A7AF9">
            <w:pPr>
              <w:widowControl w:val="0"/>
              <w:autoSpaceDE w:val="0"/>
              <w:autoSpaceDN w:val="0"/>
              <w:adjustRightInd w:val="0"/>
              <w:ind w:left="-139" w:right="-117"/>
              <w:jc w:val="center"/>
              <w:rPr>
                <w:sz w:val="8"/>
                <w:szCs w:val="8"/>
                <w:u w:val="single"/>
              </w:rPr>
            </w:pPr>
          </w:p>
        </w:tc>
        <w:tc>
          <w:tcPr>
            <w:tcW w:w="1044" w:type="dxa"/>
            <w:vMerge/>
          </w:tcPr>
          <w:p w:rsidR="0041057F" w:rsidRDefault="0041057F" w:rsidP="0041057F">
            <w:pPr>
              <w:widowControl w:val="0"/>
              <w:tabs>
                <w:tab w:val="left" w:pos="1125"/>
              </w:tabs>
              <w:autoSpaceDE w:val="0"/>
              <w:autoSpaceDN w:val="0"/>
              <w:adjustRightInd w:val="0"/>
              <w:ind w:left="-274" w:right="-81"/>
              <w:jc w:val="center"/>
            </w:pPr>
          </w:p>
        </w:tc>
      </w:tr>
      <w:tr w:rsidR="0041057F" w:rsidTr="0041057F">
        <w:trPr>
          <w:trHeight w:val="123"/>
        </w:trPr>
        <w:tc>
          <w:tcPr>
            <w:tcW w:w="560" w:type="dxa"/>
            <w:vMerge/>
          </w:tcPr>
          <w:p w:rsidR="0041057F" w:rsidRDefault="0041057F" w:rsidP="00D06D55">
            <w:pPr>
              <w:widowControl w:val="0"/>
              <w:autoSpaceDE w:val="0"/>
              <w:autoSpaceDN w:val="0"/>
              <w:adjustRightInd w:val="0"/>
              <w:rPr>
                <w:u w:val="single"/>
              </w:rPr>
            </w:pPr>
          </w:p>
        </w:tc>
        <w:tc>
          <w:tcPr>
            <w:tcW w:w="236" w:type="dxa"/>
            <w:vMerge/>
          </w:tcPr>
          <w:p w:rsidR="0041057F" w:rsidRDefault="0041057F" w:rsidP="0041057F">
            <w:pPr>
              <w:widowControl w:val="0"/>
              <w:autoSpaceDE w:val="0"/>
              <w:autoSpaceDN w:val="0"/>
              <w:adjustRightInd w:val="0"/>
              <w:ind w:left="-110"/>
            </w:pPr>
          </w:p>
        </w:tc>
        <w:tc>
          <w:tcPr>
            <w:tcW w:w="5873" w:type="dxa"/>
          </w:tcPr>
          <w:p w:rsidR="0041057F" w:rsidRDefault="0041057F" w:rsidP="006A7AF9">
            <w:pPr>
              <w:widowControl w:val="0"/>
              <w:autoSpaceDE w:val="0"/>
              <w:autoSpaceDN w:val="0"/>
              <w:adjustRightInd w:val="0"/>
              <w:ind w:left="-139" w:right="-117"/>
              <w:jc w:val="center"/>
            </w:pPr>
            <w:r>
              <w:t>PAR</w:t>
            </w:r>
          </w:p>
        </w:tc>
        <w:tc>
          <w:tcPr>
            <w:tcW w:w="1044" w:type="dxa"/>
            <w:vMerge/>
          </w:tcPr>
          <w:p w:rsidR="0041057F" w:rsidRDefault="0041057F" w:rsidP="0041057F">
            <w:pPr>
              <w:widowControl w:val="0"/>
              <w:tabs>
                <w:tab w:val="left" w:pos="1125"/>
              </w:tabs>
              <w:autoSpaceDE w:val="0"/>
              <w:autoSpaceDN w:val="0"/>
              <w:adjustRightInd w:val="0"/>
              <w:ind w:left="-274" w:right="-81"/>
              <w:jc w:val="center"/>
            </w:pPr>
          </w:p>
        </w:tc>
      </w:tr>
    </w:tbl>
    <w:p w:rsidR="006A7AF9" w:rsidRDefault="006A7AF9" w:rsidP="00D06D55">
      <w:pPr>
        <w:widowControl w:val="0"/>
        <w:autoSpaceDE w:val="0"/>
        <w:autoSpaceDN w:val="0"/>
        <w:adjustRightInd w:val="0"/>
        <w:ind w:left="2160" w:hanging="720"/>
      </w:pPr>
    </w:p>
    <w:p w:rsidR="00D06D55" w:rsidRDefault="00D06D55" w:rsidP="004A74D5">
      <w:pPr>
        <w:widowControl w:val="0"/>
        <w:autoSpaceDE w:val="0"/>
        <w:autoSpaceDN w:val="0"/>
        <w:adjustRightInd w:val="0"/>
        <w:ind w:left="2160" w:firstLine="6"/>
      </w:pPr>
      <w:r>
        <w:t xml:space="preserve">Where: </w:t>
      </w:r>
    </w:p>
    <w:p w:rsidR="00D06D55" w:rsidRDefault="00D06D55" w:rsidP="00D06D55">
      <w:pPr>
        <w:widowControl w:val="0"/>
        <w:autoSpaceDE w:val="0"/>
        <w:autoSpaceDN w:val="0"/>
        <w:adjustRightInd w:val="0"/>
        <w:ind w:left="1440" w:hanging="720"/>
      </w:pPr>
    </w:p>
    <w:tbl>
      <w:tblPr>
        <w:tblW w:w="0" w:type="auto"/>
        <w:tblInd w:w="2538" w:type="dxa"/>
        <w:tblLook w:val="0000" w:firstRow="0" w:lastRow="0" w:firstColumn="0" w:lastColumn="0" w:noHBand="0" w:noVBand="0"/>
      </w:tblPr>
      <w:tblGrid>
        <w:gridCol w:w="1350"/>
        <w:gridCol w:w="288"/>
        <w:gridCol w:w="5400"/>
      </w:tblGrid>
      <w:tr w:rsidR="006A7AF9" w:rsidTr="00BD5440">
        <w:trPr>
          <w:trHeight w:val="234"/>
        </w:trPr>
        <w:tc>
          <w:tcPr>
            <w:tcW w:w="1350" w:type="dxa"/>
          </w:tcPr>
          <w:p w:rsidR="006A7AF9" w:rsidRDefault="006A7AF9" w:rsidP="004A74D5">
            <w:pPr>
              <w:widowControl w:val="0"/>
              <w:autoSpaceDE w:val="0"/>
              <w:autoSpaceDN w:val="0"/>
              <w:adjustRightInd w:val="0"/>
              <w:ind w:left="-36"/>
            </w:pPr>
            <w:r>
              <w:t>S%</w:t>
            </w:r>
          </w:p>
        </w:tc>
        <w:tc>
          <w:tcPr>
            <w:tcW w:w="288" w:type="dxa"/>
            <w:vAlign w:val="center"/>
          </w:tcPr>
          <w:p w:rsidR="006A7AF9" w:rsidRDefault="006A7AF9" w:rsidP="00BD5440">
            <w:pPr>
              <w:widowControl w:val="0"/>
              <w:autoSpaceDE w:val="0"/>
              <w:autoSpaceDN w:val="0"/>
              <w:adjustRightInd w:val="0"/>
              <w:ind w:left="-108" w:right="-117"/>
              <w:jc w:val="center"/>
            </w:pPr>
            <w:r>
              <w:t>=</w:t>
            </w:r>
          </w:p>
        </w:tc>
        <w:tc>
          <w:tcPr>
            <w:tcW w:w="5400" w:type="dxa"/>
          </w:tcPr>
          <w:p w:rsidR="006A7AF9" w:rsidRDefault="006A7AF9" w:rsidP="002368BF">
            <w:pPr>
              <w:widowControl w:val="0"/>
              <w:autoSpaceDE w:val="0"/>
              <w:autoSpaceDN w:val="0"/>
              <w:adjustRightInd w:val="0"/>
            </w:pPr>
            <w:r>
              <w:t>QIP surcharge percentage.</w:t>
            </w:r>
          </w:p>
        </w:tc>
      </w:tr>
      <w:tr w:rsidR="006A7AF9" w:rsidTr="00805505">
        <w:trPr>
          <w:trHeight w:val="3465"/>
        </w:trPr>
        <w:tc>
          <w:tcPr>
            <w:tcW w:w="1350" w:type="dxa"/>
          </w:tcPr>
          <w:p w:rsidR="006A7AF9" w:rsidRDefault="006A7AF9" w:rsidP="004A74D5">
            <w:pPr>
              <w:widowControl w:val="0"/>
              <w:autoSpaceDE w:val="0"/>
              <w:autoSpaceDN w:val="0"/>
              <w:adjustRightInd w:val="0"/>
              <w:ind w:left="-36"/>
            </w:pPr>
            <w:r>
              <w:t>NetQIP</w:t>
            </w:r>
          </w:p>
        </w:tc>
        <w:tc>
          <w:tcPr>
            <w:tcW w:w="288" w:type="dxa"/>
          </w:tcPr>
          <w:p w:rsidR="006A7AF9" w:rsidRDefault="006A7AF9" w:rsidP="00805505">
            <w:pPr>
              <w:widowControl w:val="0"/>
              <w:autoSpaceDE w:val="0"/>
              <w:autoSpaceDN w:val="0"/>
              <w:adjustRightInd w:val="0"/>
              <w:ind w:left="-108" w:right="-117"/>
              <w:jc w:val="center"/>
            </w:pPr>
            <w:r>
              <w:t>=</w:t>
            </w:r>
          </w:p>
        </w:tc>
        <w:tc>
          <w:tcPr>
            <w:tcW w:w="5400" w:type="dxa"/>
          </w:tcPr>
          <w:p w:rsidR="006A7AF9" w:rsidRDefault="006A7AF9" w:rsidP="00BE246A">
            <w:pPr>
              <w:widowControl w:val="0"/>
              <w:autoSpaceDE w:val="0"/>
              <w:autoSpaceDN w:val="0"/>
              <w:adjustRightInd w:val="0"/>
            </w:pPr>
            <w:r>
              <w:t xml:space="preserve">The average forecasted cost of the investment in QIP for the rate zone for the operation year less forecasted accumulated depreciation </w:t>
            </w:r>
            <w:r w:rsidR="00D024DB">
              <w:t xml:space="preserve">and accumulated deferred income taxes (ADIT) </w:t>
            </w:r>
            <w:r>
              <w:t>in QIP for the rate zone for the operation year. The average forecasted cost of QIP, net of depreciation</w:t>
            </w:r>
            <w:r w:rsidR="00D024DB">
              <w:t xml:space="preserve"> and any ADIT liabilities (net of defe</w:t>
            </w:r>
            <w:r w:rsidR="00DF7989">
              <w:t>r</w:t>
            </w:r>
            <w:r w:rsidR="00D024DB">
              <w:t xml:space="preserve">red tax assets) resulting from the QIP, </w:t>
            </w:r>
            <w:r>
              <w:t>shall be computed by using an average of 13 end-of-month balances of QIP</w:t>
            </w:r>
            <w:r w:rsidR="00D024DB">
              <w:t>, less</w:t>
            </w:r>
            <w:r>
              <w:t xml:space="preserve"> accumulated depreciation </w:t>
            </w:r>
            <w:r w:rsidR="00D024DB">
              <w:t xml:space="preserve">and ADIT </w:t>
            </w:r>
            <w:r>
              <w:t>for the period from December 31 of the year preceding the operation year through December 31 of the operation year.</w:t>
            </w:r>
          </w:p>
        </w:tc>
      </w:tr>
      <w:tr w:rsidR="00D024DB" w:rsidTr="00805505">
        <w:trPr>
          <w:trHeight w:val="1233"/>
        </w:trPr>
        <w:tc>
          <w:tcPr>
            <w:tcW w:w="1350" w:type="dxa"/>
          </w:tcPr>
          <w:p w:rsidR="00D024DB" w:rsidRPr="006A7AF9" w:rsidRDefault="00D024DB" w:rsidP="004A74D5">
            <w:pPr>
              <w:widowControl w:val="0"/>
              <w:autoSpaceDE w:val="0"/>
              <w:autoSpaceDN w:val="0"/>
              <w:adjustRightInd w:val="0"/>
              <w:ind w:left="-36"/>
            </w:pPr>
            <w:r>
              <w:t>AdjNetQIP</w:t>
            </w:r>
          </w:p>
        </w:tc>
        <w:tc>
          <w:tcPr>
            <w:tcW w:w="288" w:type="dxa"/>
          </w:tcPr>
          <w:p w:rsidR="00D024DB" w:rsidRDefault="00D024DB" w:rsidP="00805505">
            <w:pPr>
              <w:widowControl w:val="0"/>
              <w:autoSpaceDE w:val="0"/>
              <w:autoSpaceDN w:val="0"/>
              <w:adjustRightInd w:val="0"/>
              <w:ind w:left="-108" w:right="-117"/>
              <w:jc w:val="center"/>
            </w:pPr>
            <w:r>
              <w:t>=</w:t>
            </w:r>
          </w:p>
        </w:tc>
        <w:tc>
          <w:tcPr>
            <w:tcW w:w="5400" w:type="dxa"/>
          </w:tcPr>
          <w:p w:rsidR="00D024DB" w:rsidRDefault="00D024DB" w:rsidP="002368BF">
            <w:pPr>
              <w:widowControl w:val="0"/>
              <w:autoSpaceDE w:val="0"/>
              <w:autoSpaceDN w:val="0"/>
              <w:adjustRightInd w:val="0"/>
            </w:pPr>
            <w:r w:rsidRPr="008815ED">
              <w:t>The actual amount of netQIP as of the end of the QIP forecast period used in the utility's last rate case for the rate zone less the amount of NetQIP the Commission approved to be added to the utility's rate base as of the end of the QIP forecast period.</w:t>
            </w:r>
          </w:p>
        </w:tc>
      </w:tr>
      <w:tr w:rsidR="006A7AF9" w:rsidTr="00805505">
        <w:trPr>
          <w:trHeight w:val="423"/>
        </w:trPr>
        <w:tc>
          <w:tcPr>
            <w:tcW w:w="1350" w:type="dxa"/>
          </w:tcPr>
          <w:p w:rsidR="006A7AF9" w:rsidRDefault="006A7AF9" w:rsidP="004A74D5">
            <w:pPr>
              <w:widowControl w:val="0"/>
              <w:autoSpaceDE w:val="0"/>
              <w:autoSpaceDN w:val="0"/>
              <w:adjustRightInd w:val="0"/>
              <w:ind w:left="-36"/>
            </w:pPr>
            <w:r w:rsidRPr="006A7AF9">
              <w:lastRenderedPageBreak/>
              <w:t>PTR</w:t>
            </w:r>
          </w:p>
        </w:tc>
        <w:tc>
          <w:tcPr>
            <w:tcW w:w="288" w:type="dxa"/>
          </w:tcPr>
          <w:p w:rsidR="006A7AF9" w:rsidRDefault="006A7AF9" w:rsidP="00805505">
            <w:pPr>
              <w:widowControl w:val="0"/>
              <w:autoSpaceDE w:val="0"/>
              <w:autoSpaceDN w:val="0"/>
              <w:adjustRightInd w:val="0"/>
              <w:ind w:left="-108" w:right="-117"/>
              <w:jc w:val="center"/>
            </w:pPr>
            <w:r>
              <w:t>=</w:t>
            </w:r>
          </w:p>
        </w:tc>
        <w:tc>
          <w:tcPr>
            <w:tcW w:w="5400" w:type="dxa"/>
          </w:tcPr>
          <w:p w:rsidR="006A7AF9" w:rsidRDefault="006A7AF9" w:rsidP="00293CD7">
            <w:pPr>
              <w:widowControl w:val="0"/>
              <w:autoSpaceDE w:val="0"/>
              <w:autoSpaceDN w:val="0"/>
              <w:adjustRightInd w:val="0"/>
            </w:pPr>
            <w:r>
              <w:t>Pre-tax return as described in Section 656.50(a)(1).</w:t>
            </w:r>
          </w:p>
        </w:tc>
      </w:tr>
      <w:tr w:rsidR="006A7AF9" w:rsidTr="00805505">
        <w:trPr>
          <w:trHeight w:val="4077"/>
        </w:trPr>
        <w:tc>
          <w:tcPr>
            <w:tcW w:w="1350" w:type="dxa"/>
          </w:tcPr>
          <w:p w:rsidR="006A7AF9" w:rsidRDefault="006A7AF9" w:rsidP="004A74D5">
            <w:pPr>
              <w:widowControl w:val="0"/>
              <w:autoSpaceDE w:val="0"/>
              <w:autoSpaceDN w:val="0"/>
              <w:adjustRightInd w:val="0"/>
              <w:ind w:left="-36"/>
            </w:pPr>
            <w:r w:rsidRPr="006A7AF9">
              <w:t>Net Dep</w:t>
            </w:r>
          </w:p>
        </w:tc>
        <w:tc>
          <w:tcPr>
            <w:tcW w:w="288" w:type="dxa"/>
          </w:tcPr>
          <w:p w:rsidR="006A7AF9" w:rsidRDefault="006A7AF9" w:rsidP="00805505">
            <w:pPr>
              <w:widowControl w:val="0"/>
              <w:autoSpaceDE w:val="0"/>
              <w:autoSpaceDN w:val="0"/>
              <w:adjustRightInd w:val="0"/>
              <w:ind w:left="-108" w:right="-117"/>
              <w:jc w:val="center"/>
            </w:pPr>
            <w:r>
              <w:t>=</w:t>
            </w:r>
          </w:p>
        </w:tc>
        <w:tc>
          <w:tcPr>
            <w:tcW w:w="5400" w:type="dxa"/>
          </w:tcPr>
          <w:p w:rsidR="006A7AF9" w:rsidRDefault="006A7AF9" w:rsidP="002368BF">
            <w:pPr>
              <w:widowControl w:val="0"/>
              <w:autoSpaceDE w:val="0"/>
              <w:autoSpaceDN w:val="0"/>
              <w:adjustRightInd w:val="0"/>
            </w:pPr>
            <w:r>
              <w:t>Net depreciation expenses related to the average investment in QIP for the rate zone for the operation year. Depreciation expenses shall be calculated by multiplying the average forecasted cost of the investment in QIP by plant account, net of retirements, by the approved depreciation rates for the respective accounts in which the specific items included in the average QIP investment are recorded. The average forecasted cost of the investment in QIP by plant account, net of retirements, shall be computed by using an average of 13 end-of-the-month balances of QIP by plant account and retirements for the period from December 31 of the year preceding the operation year through December 31 of the operation year.</w:t>
            </w:r>
          </w:p>
        </w:tc>
      </w:tr>
      <w:tr w:rsidR="003A16C5" w:rsidTr="00805505">
        <w:trPr>
          <w:trHeight w:val="1287"/>
        </w:trPr>
        <w:tc>
          <w:tcPr>
            <w:tcW w:w="1350" w:type="dxa"/>
          </w:tcPr>
          <w:p w:rsidR="003A16C5" w:rsidRDefault="003A16C5" w:rsidP="004A74D5">
            <w:pPr>
              <w:widowControl w:val="0"/>
              <w:autoSpaceDE w:val="0"/>
              <w:autoSpaceDN w:val="0"/>
              <w:adjustRightInd w:val="0"/>
              <w:ind w:left="-36"/>
            </w:pPr>
            <w:r>
              <w:t>AdjNetDep</w:t>
            </w:r>
          </w:p>
        </w:tc>
        <w:tc>
          <w:tcPr>
            <w:tcW w:w="288" w:type="dxa"/>
          </w:tcPr>
          <w:p w:rsidR="003A16C5" w:rsidRDefault="003A16C5" w:rsidP="00805505">
            <w:pPr>
              <w:widowControl w:val="0"/>
              <w:autoSpaceDE w:val="0"/>
              <w:autoSpaceDN w:val="0"/>
              <w:adjustRightInd w:val="0"/>
              <w:ind w:left="-108" w:right="-117"/>
              <w:jc w:val="center"/>
            </w:pPr>
            <w:r>
              <w:t>=</w:t>
            </w:r>
          </w:p>
        </w:tc>
        <w:tc>
          <w:tcPr>
            <w:tcW w:w="5400" w:type="dxa"/>
          </w:tcPr>
          <w:p w:rsidR="003A16C5" w:rsidRDefault="003A16C5" w:rsidP="002368BF">
            <w:pPr>
              <w:widowControl w:val="0"/>
              <w:autoSpaceDE w:val="0"/>
              <w:autoSpaceDN w:val="0"/>
              <w:adjustRightInd w:val="0"/>
            </w:pPr>
            <w:r w:rsidRPr="008815ED">
              <w:t>The actual amount of NetDep applicable to the QIP forecast period used in the utility's last rate case for the rate zone less the amount of NetDep that the Commission approved for the QIP forecast period used in the utility's last rate case for the rate zone.</w:t>
            </w:r>
          </w:p>
        </w:tc>
      </w:tr>
      <w:tr w:rsidR="006A7AF9" w:rsidTr="00805505">
        <w:trPr>
          <w:trHeight w:val="1620"/>
        </w:trPr>
        <w:tc>
          <w:tcPr>
            <w:tcW w:w="1350" w:type="dxa"/>
          </w:tcPr>
          <w:p w:rsidR="006A7AF9" w:rsidRDefault="006A7AF9" w:rsidP="004A74D5">
            <w:pPr>
              <w:widowControl w:val="0"/>
              <w:autoSpaceDE w:val="0"/>
              <w:autoSpaceDN w:val="0"/>
              <w:adjustRightInd w:val="0"/>
              <w:ind w:left="-36"/>
            </w:pPr>
            <w:r>
              <w:t>R</w:t>
            </w:r>
          </w:p>
        </w:tc>
        <w:tc>
          <w:tcPr>
            <w:tcW w:w="288" w:type="dxa"/>
          </w:tcPr>
          <w:p w:rsidR="006A7AF9" w:rsidRDefault="006A7AF9" w:rsidP="00805505">
            <w:pPr>
              <w:widowControl w:val="0"/>
              <w:autoSpaceDE w:val="0"/>
              <w:autoSpaceDN w:val="0"/>
              <w:adjustRightInd w:val="0"/>
              <w:ind w:left="-108" w:right="-117"/>
              <w:jc w:val="center"/>
            </w:pPr>
            <w:r>
              <w:t>=</w:t>
            </w:r>
          </w:p>
        </w:tc>
        <w:tc>
          <w:tcPr>
            <w:tcW w:w="5400" w:type="dxa"/>
          </w:tcPr>
          <w:p w:rsidR="006A7AF9" w:rsidRDefault="00C64A6F" w:rsidP="00293CD7">
            <w:pPr>
              <w:widowControl w:val="0"/>
              <w:autoSpaceDE w:val="0"/>
              <w:autoSpaceDN w:val="0"/>
              <w:adjustRightInd w:val="0"/>
            </w:pPr>
            <w:r>
              <w:t>Utility-determined reconciliation component (R component) calculated for the reconciliation year under the reconciliation feature as described in Section 656.80(d). The reconciliation component shall be collected over nine months from April through December.</w:t>
            </w:r>
          </w:p>
        </w:tc>
      </w:tr>
      <w:tr w:rsidR="006A7AF9" w:rsidTr="00805505">
        <w:trPr>
          <w:trHeight w:val="504"/>
        </w:trPr>
        <w:tc>
          <w:tcPr>
            <w:tcW w:w="1350" w:type="dxa"/>
          </w:tcPr>
          <w:p w:rsidR="006A7AF9" w:rsidRDefault="006A7AF9" w:rsidP="004A74D5">
            <w:pPr>
              <w:widowControl w:val="0"/>
              <w:autoSpaceDE w:val="0"/>
              <w:autoSpaceDN w:val="0"/>
              <w:adjustRightInd w:val="0"/>
              <w:ind w:left="-36"/>
            </w:pPr>
            <w:r>
              <w:t>O</w:t>
            </w:r>
          </w:p>
        </w:tc>
        <w:tc>
          <w:tcPr>
            <w:tcW w:w="288" w:type="dxa"/>
          </w:tcPr>
          <w:p w:rsidR="006A7AF9" w:rsidRDefault="006A7AF9" w:rsidP="00805505">
            <w:pPr>
              <w:widowControl w:val="0"/>
              <w:autoSpaceDE w:val="0"/>
              <w:autoSpaceDN w:val="0"/>
              <w:adjustRightInd w:val="0"/>
              <w:ind w:left="-108" w:right="-117"/>
              <w:jc w:val="center"/>
            </w:pPr>
            <w:r>
              <w:t>=</w:t>
            </w:r>
          </w:p>
        </w:tc>
        <w:tc>
          <w:tcPr>
            <w:tcW w:w="5400" w:type="dxa"/>
          </w:tcPr>
          <w:p w:rsidR="006A7AF9" w:rsidRDefault="00C64A6F" w:rsidP="002368BF">
            <w:pPr>
              <w:widowControl w:val="0"/>
              <w:autoSpaceDE w:val="0"/>
              <w:autoSpaceDN w:val="0"/>
              <w:adjustRightInd w:val="0"/>
            </w:pPr>
            <w:r>
              <w:t>The Commission-ordered adjustment component (O component).</w:t>
            </w:r>
          </w:p>
        </w:tc>
      </w:tr>
      <w:tr w:rsidR="006A7AF9" w:rsidTr="00805505">
        <w:trPr>
          <w:trHeight w:val="765"/>
        </w:trPr>
        <w:tc>
          <w:tcPr>
            <w:tcW w:w="1350" w:type="dxa"/>
          </w:tcPr>
          <w:p w:rsidR="006A7AF9" w:rsidRDefault="006A7AF9" w:rsidP="004A74D5">
            <w:pPr>
              <w:widowControl w:val="0"/>
              <w:autoSpaceDE w:val="0"/>
              <w:autoSpaceDN w:val="0"/>
              <w:adjustRightInd w:val="0"/>
              <w:ind w:left="-36"/>
            </w:pPr>
            <w:r>
              <w:t>INT</w:t>
            </w:r>
          </w:p>
        </w:tc>
        <w:tc>
          <w:tcPr>
            <w:tcW w:w="288" w:type="dxa"/>
          </w:tcPr>
          <w:p w:rsidR="006A7AF9" w:rsidRDefault="006A7AF9" w:rsidP="00805505">
            <w:pPr>
              <w:widowControl w:val="0"/>
              <w:autoSpaceDE w:val="0"/>
              <w:autoSpaceDN w:val="0"/>
              <w:adjustRightInd w:val="0"/>
              <w:ind w:left="-108" w:right="-117"/>
              <w:jc w:val="center"/>
            </w:pPr>
            <w:r>
              <w:t>=</w:t>
            </w:r>
          </w:p>
        </w:tc>
        <w:tc>
          <w:tcPr>
            <w:tcW w:w="5400" w:type="dxa"/>
          </w:tcPr>
          <w:p w:rsidR="006A7AF9" w:rsidRDefault="00C64A6F" w:rsidP="00C43B41">
            <w:pPr>
              <w:widowControl w:val="0"/>
              <w:autoSpaceDE w:val="0"/>
              <w:autoSpaceDN w:val="0"/>
              <w:adjustRightInd w:val="0"/>
            </w:pPr>
            <w:r>
              <w:t xml:space="preserve">The calculated interest attributable to the O component. This interest shall be calculated as described in Section 656.80(i). </w:t>
            </w:r>
          </w:p>
        </w:tc>
      </w:tr>
      <w:tr w:rsidR="00FF7B50" w:rsidTr="00805505">
        <w:trPr>
          <w:trHeight w:val="2727"/>
        </w:trPr>
        <w:tc>
          <w:tcPr>
            <w:tcW w:w="1350" w:type="dxa"/>
          </w:tcPr>
          <w:p w:rsidR="00FF7B50" w:rsidRDefault="00FF7B50" w:rsidP="004A74D5">
            <w:pPr>
              <w:widowControl w:val="0"/>
              <w:autoSpaceDE w:val="0"/>
              <w:autoSpaceDN w:val="0"/>
              <w:adjustRightInd w:val="0"/>
              <w:ind w:left="-36"/>
            </w:pPr>
            <w:r>
              <w:t>Om</w:t>
            </w:r>
          </w:p>
        </w:tc>
        <w:tc>
          <w:tcPr>
            <w:tcW w:w="288" w:type="dxa"/>
          </w:tcPr>
          <w:p w:rsidR="00FF7B50" w:rsidRDefault="00FF7B50" w:rsidP="00805505">
            <w:pPr>
              <w:widowControl w:val="0"/>
              <w:autoSpaceDE w:val="0"/>
              <w:autoSpaceDN w:val="0"/>
              <w:adjustRightInd w:val="0"/>
              <w:ind w:left="-108" w:right="-117"/>
              <w:jc w:val="center"/>
            </w:pPr>
            <w:r>
              <w:t>=</w:t>
            </w:r>
          </w:p>
        </w:tc>
        <w:tc>
          <w:tcPr>
            <w:tcW w:w="5400" w:type="dxa"/>
          </w:tcPr>
          <w:p w:rsidR="00FF7B50" w:rsidRDefault="00FF7B50" w:rsidP="00FF7B50">
            <w:pPr>
              <w:widowControl w:val="0"/>
              <w:autoSpaceDE w:val="0"/>
              <w:autoSpaceDN w:val="0"/>
              <w:adjustRightInd w:val="0"/>
            </w:pPr>
            <w:r>
              <w:t>The Commission-ordered O component multiplier. Om is a timing factor applied to the O component and the INT to allow for the collection of the O component and the INT over the remainder of the operation year.  For example, if the O component and the INT were included in the QIP surcharge percentage on January 1, the Om would be 1.00. Similarly, if the O component and the INT were included in the QIP surcharge percentage on April 1, the Om would be 1.33.</w:t>
            </w:r>
          </w:p>
        </w:tc>
      </w:tr>
      <w:tr w:rsidR="006A7AF9" w:rsidTr="00805505">
        <w:tc>
          <w:tcPr>
            <w:tcW w:w="1350" w:type="dxa"/>
          </w:tcPr>
          <w:p w:rsidR="006A7AF9" w:rsidRDefault="006A7AF9" w:rsidP="004A74D5">
            <w:pPr>
              <w:widowControl w:val="0"/>
              <w:autoSpaceDE w:val="0"/>
              <w:autoSpaceDN w:val="0"/>
              <w:adjustRightInd w:val="0"/>
              <w:ind w:left="-36"/>
            </w:pPr>
            <w:r>
              <w:t>PAR</w:t>
            </w:r>
          </w:p>
        </w:tc>
        <w:tc>
          <w:tcPr>
            <w:tcW w:w="288" w:type="dxa"/>
          </w:tcPr>
          <w:p w:rsidR="006A7AF9" w:rsidRDefault="006A7AF9" w:rsidP="00805505">
            <w:pPr>
              <w:widowControl w:val="0"/>
              <w:autoSpaceDE w:val="0"/>
              <w:autoSpaceDN w:val="0"/>
              <w:adjustRightInd w:val="0"/>
              <w:ind w:left="-108" w:right="-117"/>
              <w:jc w:val="center"/>
            </w:pPr>
            <w:r>
              <w:t>=</w:t>
            </w:r>
          </w:p>
        </w:tc>
        <w:tc>
          <w:tcPr>
            <w:tcW w:w="5400" w:type="dxa"/>
          </w:tcPr>
          <w:p w:rsidR="006A7AF9" w:rsidRDefault="00C64A6F" w:rsidP="00293CD7">
            <w:pPr>
              <w:widowControl w:val="0"/>
              <w:autoSpaceDE w:val="0"/>
              <w:autoSpaceDN w:val="0"/>
              <w:adjustRightInd w:val="0"/>
            </w:pPr>
            <w:r>
              <w:t xml:space="preserve">The </w:t>
            </w:r>
            <w:r w:rsidR="000421C5">
              <w:t>projected</w:t>
            </w:r>
            <w:r>
              <w:t xml:space="preserve"> total water or sewer QIP base rate revenues, as applicable, for the rate zone for the period from January 1 through December 31. The projected revenue shall not include the exclusions </w:t>
            </w:r>
            <w:r>
              <w:lastRenderedPageBreak/>
              <w:t>listed in Section 656.30(a).</w:t>
            </w:r>
          </w:p>
        </w:tc>
      </w:tr>
    </w:tbl>
    <w:p w:rsidR="00D06D55" w:rsidRDefault="00D06D55" w:rsidP="00D06D55">
      <w:pPr>
        <w:widowControl w:val="0"/>
        <w:autoSpaceDE w:val="0"/>
        <w:autoSpaceDN w:val="0"/>
        <w:adjustRightInd w:val="0"/>
        <w:ind w:left="1440" w:hanging="720"/>
      </w:pPr>
    </w:p>
    <w:p w:rsidR="000F7AE4" w:rsidRDefault="000F7AE4" w:rsidP="00293CD7">
      <w:pPr>
        <w:ind w:left="2160"/>
      </w:pPr>
      <w:r w:rsidRPr="008815ED">
        <w:t xml:space="preserve">Following the final order in each rate case, and before the Effective Month that will initiate the inclusion of AdjNetQIP and AdjNetDep, the utility shall file a public document in the rate case that provides the calculation of AdjNetQIP and AdjNetDep, including each component </w:t>
      </w:r>
      <w:r w:rsidR="00293CD7">
        <w:t xml:space="preserve">used </w:t>
      </w:r>
      <w:r w:rsidRPr="008815ED">
        <w:t>to determine AdjNetQIP and AdjNetDep.</w:t>
      </w:r>
    </w:p>
    <w:p w:rsidR="000F7AE4" w:rsidRPr="008815ED" w:rsidRDefault="000F7AE4" w:rsidP="00276020">
      <w:pPr>
        <w:widowControl w:val="0"/>
        <w:autoSpaceDE w:val="0"/>
        <w:autoSpaceDN w:val="0"/>
        <w:adjustRightInd w:val="0"/>
        <w:ind w:left="2160"/>
      </w:pPr>
    </w:p>
    <w:p w:rsidR="00D06D55" w:rsidRDefault="00D06D55" w:rsidP="00C64A6F">
      <w:pPr>
        <w:widowControl w:val="0"/>
        <w:autoSpaceDE w:val="0"/>
        <w:autoSpaceDN w:val="0"/>
        <w:adjustRightInd w:val="0"/>
        <w:ind w:left="2166" w:hanging="741"/>
      </w:pPr>
      <w:r>
        <w:t>2)</w:t>
      </w:r>
      <w:r>
        <w:tab/>
        <w:t xml:space="preserve">Quarterly Historical Operation </w:t>
      </w:r>
    </w:p>
    <w:p w:rsidR="00D06D55" w:rsidRDefault="00D06D55" w:rsidP="00C64A6F">
      <w:pPr>
        <w:widowControl w:val="0"/>
        <w:autoSpaceDE w:val="0"/>
        <w:autoSpaceDN w:val="0"/>
        <w:adjustRightInd w:val="0"/>
        <w:ind w:left="2166" w:firstLine="15"/>
      </w:pPr>
      <w:r>
        <w:t xml:space="preserve">Utilities choosing quarterly historical operation shall determine the QIP surcharge percentage for the quarter using the following formula: </w:t>
      </w:r>
    </w:p>
    <w:p w:rsidR="00D06D55" w:rsidRDefault="00D06D55" w:rsidP="00D06D55">
      <w:pPr>
        <w:widowControl w:val="0"/>
        <w:autoSpaceDE w:val="0"/>
        <w:autoSpaceDN w:val="0"/>
        <w:adjustRightInd w:val="0"/>
        <w:ind w:left="2160" w:hanging="720"/>
      </w:pPr>
    </w:p>
    <w:tbl>
      <w:tblPr>
        <w:tblW w:w="8037" w:type="dxa"/>
        <w:tblInd w:w="1548" w:type="dxa"/>
        <w:tblLook w:val="0000" w:firstRow="0" w:lastRow="0" w:firstColumn="0" w:lastColumn="0" w:noHBand="0" w:noVBand="0"/>
      </w:tblPr>
      <w:tblGrid>
        <w:gridCol w:w="550"/>
        <w:gridCol w:w="251"/>
        <w:gridCol w:w="6318"/>
        <w:gridCol w:w="918"/>
      </w:tblGrid>
      <w:tr w:rsidR="00FF7B50" w:rsidRPr="006A7AF9" w:rsidTr="00FF7B50">
        <w:trPr>
          <w:trHeight w:val="630"/>
        </w:trPr>
        <w:tc>
          <w:tcPr>
            <w:tcW w:w="550" w:type="dxa"/>
            <w:vMerge w:val="restart"/>
            <w:vAlign w:val="center"/>
          </w:tcPr>
          <w:p w:rsidR="00FF7B50" w:rsidRDefault="00FF7B50" w:rsidP="002368BF">
            <w:pPr>
              <w:widowControl w:val="0"/>
              <w:autoSpaceDE w:val="0"/>
              <w:autoSpaceDN w:val="0"/>
              <w:adjustRightInd w:val="0"/>
            </w:pPr>
          </w:p>
          <w:p w:rsidR="00FF7B50" w:rsidRPr="006A7AF9" w:rsidRDefault="00FF7B50" w:rsidP="002368BF">
            <w:pPr>
              <w:widowControl w:val="0"/>
              <w:autoSpaceDE w:val="0"/>
              <w:autoSpaceDN w:val="0"/>
              <w:adjustRightInd w:val="0"/>
            </w:pPr>
            <w:r w:rsidRPr="006A7AF9">
              <w:t>S%</w:t>
            </w:r>
          </w:p>
        </w:tc>
        <w:tc>
          <w:tcPr>
            <w:tcW w:w="251" w:type="dxa"/>
            <w:vMerge w:val="restart"/>
            <w:vAlign w:val="center"/>
          </w:tcPr>
          <w:p w:rsidR="00FF7B50" w:rsidRDefault="00FF7B50" w:rsidP="00FF7B50">
            <w:pPr>
              <w:widowControl w:val="0"/>
              <w:autoSpaceDE w:val="0"/>
              <w:autoSpaceDN w:val="0"/>
              <w:adjustRightInd w:val="0"/>
              <w:ind w:left="-109" w:right="-97"/>
              <w:jc w:val="center"/>
            </w:pPr>
          </w:p>
          <w:p w:rsidR="00FF7B50" w:rsidRDefault="00FF7B50" w:rsidP="00FF7B50">
            <w:pPr>
              <w:widowControl w:val="0"/>
              <w:autoSpaceDE w:val="0"/>
              <w:autoSpaceDN w:val="0"/>
              <w:adjustRightInd w:val="0"/>
              <w:ind w:left="-109" w:right="-97"/>
              <w:jc w:val="center"/>
            </w:pPr>
            <w:r>
              <w:t>=</w:t>
            </w:r>
          </w:p>
        </w:tc>
        <w:tc>
          <w:tcPr>
            <w:tcW w:w="6318" w:type="dxa"/>
            <w:tcBorders>
              <w:bottom w:val="single" w:sz="4" w:space="0" w:color="auto"/>
            </w:tcBorders>
          </w:tcPr>
          <w:p w:rsidR="00FF7B50" w:rsidRPr="00C64A6F" w:rsidRDefault="00FF7B50" w:rsidP="00FF7B50">
            <w:pPr>
              <w:widowControl w:val="0"/>
              <w:autoSpaceDE w:val="0"/>
              <w:autoSpaceDN w:val="0"/>
              <w:adjustRightInd w:val="0"/>
              <w:ind w:left="-274" w:right="-117"/>
              <w:jc w:val="center"/>
            </w:pPr>
            <w:r>
              <w:t>(</w:t>
            </w:r>
            <w:r w:rsidRPr="00C64A6F">
              <w:t xml:space="preserve">(NetQIP </w:t>
            </w:r>
            <w:r>
              <w:t xml:space="preserve">+ AdjNetQIP) </w:t>
            </w:r>
            <w:r w:rsidRPr="00C64A6F">
              <w:t xml:space="preserve">x PTR x .25) + </w:t>
            </w:r>
            <w:r>
              <w:t>(</w:t>
            </w:r>
            <w:r w:rsidRPr="00C64A6F">
              <w:t xml:space="preserve">NetDep </w:t>
            </w:r>
            <w:r>
              <w:t xml:space="preserve">+ AdjNetDep) </w:t>
            </w:r>
            <w:r w:rsidRPr="00C64A6F">
              <w:t>+ (R x .33) + ((O + INT) x Om)</w:t>
            </w:r>
          </w:p>
        </w:tc>
        <w:tc>
          <w:tcPr>
            <w:tcW w:w="918" w:type="dxa"/>
            <w:vMerge w:val="restart"/>
            <w:vAlign w:val="center"/>
          </w:tcPr>
          <w:p w:rsidR="00FF7B50" w:rsidRPr="00FF7B50" w:rsidRDefault="00FF7B50" w:rsidP="00FF7B50">
            <w:pPr>
              <w:widowControl w:val="0"/>
              <w:autoSpaceDE w:val="0"/>
              <w:autoSpaceDN w:val="0"/>
              <w:adjustRightInd w:val="0"/>
              <w:ind w:left="-126" w:right="-99"/>
              <w:jc w:val="center"/>
              <w:rPr>
                <w:sz w:val="16"/>
                <w:szCs w:val="16"/>
              </w:rPr>
            </w:pPr>
          </w:p>
          <w:p w:rsidR="00FF7B50" w:rsidRPr="006A7AF9" w:rsidRDefault="00FF7B50" w:rsidP="00FF7B50">
            <w:pPr>
              <w:widowControl w:val="0"/>
              <w:autoSpaceDE w:val="0"/>
              <w:autoSpaceDN w:val="0"/>
              <w:adjustRightInd w:val="0"/>
              <w:ind w:left="-126" w:right="-99"/>
              <w:jc w:val="center"/>
            </w:pPr>
            <w:r>
              <w:t>x 100%</w:t>
            </w:r>
          </w:p>
        </w:tc>
      </w:tr>
      <w:tr w:rsidR="00FF7B50" w:rsidTr="00FF7B50">
        <w:trPr>
          <w:trHeight w:val="71"/>
        </w:trPr>
        <w:tc>
          <w:tcPr>
            <w:tcW w:w="550" w:type="dxa"/>
            <w:vMerge/>
          </w:tcPr>
          <w:p w:rsidR="00FF7B50" w:rsidRDefault="00FF7B50" w:rsidP="002368BF">
            <w:pPr>
              <w:widowControl w:val="0"/>
              <w:autoSpaceDE w:val="0"/>
              <w:autoSpaceDN w:val="0"/>
              <w:adjustRightInd w:val="0"/>
              <w:rPr>
                <w:u w:val="single"/>
              </w:rPr>
            </w:pPr>
          </w:p>
        </w:tc>
        <w:tc>
          <w:tcPr>
            <w:tcW w:w="251" w:type="dxa"/>
            <w:vMerge/>
            <w:vAlign w:val="center"/>
          </w:tcPr>
          <w:p w:rsidR="00FF7B50" w:rsidRDefault="00FF7B50" w:rsidP="00FF7B50">
            <w:pPr>
              <w:widowControl w:val="0"/>
              <w:autoSpaceDE w:val="0"/>
              <w:autoSpaceDN w:val="0"/>
              <w:adjustRightInd w:val="0"/>
              <w:ind w:left="-109" w:right="-97"/>
              <w:jc w:val="center"/>
            </w:pPr>
          </w:p>
        </w:tc>
        <w:tc>
          <w:tcPr>
            <w:tcW w:w="6318" w:type="dxa"/>
            <w:tcBorders>
              <w:top w:val="single" w:sz="4" w:space="0" w:color="auto"/>
            </w:tcBorders>
          </w:tcPr>
          <w:p w:rsidR="00FF7B50" w:rsidRPr="00FF7B50" w:rsidRDefault="00FF7B50" w:rsidP="002368BF">
            <w:pPr>
              <w:widowControl w:val="0"/>
              <w:autoSpaceDE w:val="0"/>
              <w:autoSpaceDN w:val="0"/>
              <w:adjustRightInd w:val="0"/>
              <w:ind w:left="-139" w:right="-117"/>
              <w:jc w:val="center"/>
              <w:rPr>
                <w:sz w:val="6"/>
                <w:szCs w:val="6"/>
                <w:u w:val="single"/>
              </w:rPr>
            </w:pPr>
          </w:p>
        </w:tc>
        <w:tc>
          <w:tcPr>
            <w:tcW w:w="918" w:type="dxa"/>
            <w:vMerge/>
          </w:tcPr>
          <w:p w:rsidR="00FF7B50" w:rsidRDefault="00FF7B50" w:rsidP="002368BF">
            <w:pPr>
              <w:widowControl w:val="0"/>
              <w:autoSpaceDE w:val="0"/>
              <w:autoSpaceDN w:val="0"/>
              <w:adjustRightInd w:val="0"/>
              <w:ind w:left="-139" w:right="-117"/>
              <w:jc w:val="center"/>
            </w:pPr>
          </w:p>
        </w:tc>
      </w:tr>
      <w:tr w:rsidR="00FF7B50" w:rsidTr="00FF7B50">
        <w:trPr>
          <w:trHeight w:val="76"/>
        </w:trPr>
        <w:tc>
          <w:tcPr>
            <w:tcW w:w="550" w:type="dxa"/>
            <w:vMerge/>
          </w:tcPr>
          <w:p w:rsidR="00FF7B50" w:rsidRDefault="00FF7B50" w:rsidP="002368BF">
            <w:pPr>
              <w:widowControl w:val="0"/>
              <w:autoSpaceDE w:val="0"/>
              <w:autoSpaceDN w:val="0"/>
              <w:adjustRightInd w:val="0"/>
              <w:rPr>
                <w:u w:val="single"/>
              </w:rPr>
            </w:pPr>
          </w:p>
        </w:tc>
        <w:tc>
          <w:tcPr>
            <w:tcW w:w="251" w:type="dxa"/>
            <w:vMerge/>
            <w:vAlign w:val="center"/>
          </w:tcPr>
          <w:p w:rsidR="00FF7B50" w:rsidRDefault="00FF7B50" w:rsidP="00FF7B50">
            <w:pPr>
              <w:widowControl w:val="0"/>
              <w:autoSpaceDE w:val="0"/>
              <w:autoSpaceDN w:val="0"/>
              <w:adjustRightInd w:val="0"/>
              <w:ind w:left="-109" w:right="-97"/>
              <w:jc w:val="center"/>
            </w:pPr>
          </w:p>
        </w:tc>
        <w:tc>
          <w:tcPr>
            <w:tcW w:w="6318" w:type="dxa"/>
          </w:tcPr>
          <w:p w:rsidR="00FF7B50" w:rsidRDefault="00FF7B50" w:rsidP="002368BF">
            <w:pPr>
              <w:widowControl w:val="0"/>
              <w:autoSpaceDE w:val="0"/>
              <w:autoSpaceDN w:val="0"/>
              <w:adjustRightInd w:val="0"/>
              <w:ind w:left="-139" w:right="-117"/>
              <w:jc w:val="center"/>
            </w:pPr>
            <w:r>
              <w:t>PQR</w:t>
            </w:r>
          </w:p>
        </w:tc>
        <w:tc>
          <w:tcPr>
            <w:tcW w:w="918" w:type="dxa"/>
            <w:vMerge/>
          </w:tcPr>
          <w:p w:rsidR="00FF7B50" w:rsidRDefault="00FF7B50" w:rsidP="002368BF">
            <w:pPr>
              <w:widowControl w:val="0"/>
              <w:autoSpaceDE w:val="0"/>
              <w:autoSpaceDN w:val="0"/>
              <w:adjustRightInd w:val="0"/>
              <w:ind w:left="-139" w:right="-117"/>
              <w:jc w:val="center"/>
            </w:pPr>
          </w:p>
        </w:tc>
      </w:tr>
    </w:tbl>
    <w:p w:rsidR="00C64A6F" w:rsidRDefault="00C64A6F" w:rsidP="00D06D55">
      <w:pPr>
        <w:widowControl w:val="0"/>
        <w:autoSpaceDE w:val="0"/>
        <w:autoSpaceDN w:val="0"/>
        <w:adjustRightInd w:val="0"/>
        <w:ind w:left="2160" w:hanging="720"/>
      </w:pPr>
    </w:p>
    <w:p w:rsidR="00D06D55" w:rsidRDefault="00D06D55" w:rsidP="004A74D5">
      <w:pPr>
        <w:widowControl w:val="0"/>
        <w:autoSpaceDE w:val="0"/>
        <w:autoSpaceDN w:val="0"/>
        <w:adjustRightInd w:val="0"/>
        <w:ind w:left="2160"/>
      </w:pPr>
      <w:r>
        <w:t xml:space="preserve">Where: </w:t>
      </w:r>
    </w:p>
    <w:p w:rsidR="00D06D55" w:rsidRDefault="00D06D55" w:rsidP="00D06D55">
      <w:pPr>
        <w:widowControl w:val="0"/>
        <w:autoSpaceDE w:val="0"/>
        <w:autoSpaceDN w:val="0"/>
        <w:adjustRightInd w:val="0"/>
        <w:ind w:left="1440" w:hanging="720"/>
      </w:pPr>
    </w:p>
    <w:tbl>
      <w:tblPr>
        <w:tblW w:w="0" w:type="auto"/>
        <w:tblInd w:w="2493" w:type="dxa"/>
        <w:tblLook w:val="0000" w:firstRow="0" w:lastRow="0" w:firstColumn="0" w:lastColumn="0" w:noHBand="0" w:noVBand="0"/>
      </w:tblPr>
      <w:tblGrid>
        <w:gridCol w:w="1323"/>
        <w:gridCol w:w="274"/>
        <w:gridCol w:w="5486"/>
      </w:tblGrid>
      <w:tr w:rsidR="00C64A6F" w:rsidTr="00BD5440">
        <w:trPr>
          <w:trHeight w:val="115"/>
        </w:trPr>
        <w:tc>
          <w:tcPr>
            <w:tcW w:w="1323" w:type="dxa"/>
          </w:tcPr>
          <w:p w:rsidR="00C64A6F" w:rsidRDefault="00C64A6F" w:rsidP="002368BF">
            <w:pPr>
              <w:widowControl w:val="0"/>
              <w:autoSpaceDE w:val="0"/>
              <w:autoSpaceDN w:val="0"/>
              <w:adjustRightInd w:val="0"/>
            </w:pPr>
            <w:r>
              <w:t>S%</w:t>
            </w:r>
          </w:p>
        </w:tc>
        <w:tc>
          <w:tcPr>
            <w:tcW w:w="274" w:type="dxa"/>
            <w:vAlign w:val="center"/>
          </w:tcPr>
          <w:p w:rsidR="00C64A6F" w:rsidRDefault="00C64A6F" w:rsidP="00BD5440">
            <w:pPr>
              <w:widowControl w:val="0"/>
              <w:autoSpaceDE w:val="0"/>
              <w:autoSpaceDN w:val="0"/>
              <w:adjustRightInd w:val="0"/>
              <w:ind w:left="-108" w:right="-104"/>
              <w:jc w:val="center"/>
            </w:pPr>
            <w:r>
              <w:t>=</w:t>
            </w:r>
          </w:p>
        </w:tc>
        <w:tc>
          <w:tcPr>
            <w:tcW w:w="5486" w:type="dxa"/>
          </w:tcPr>
          <w:p w:rsidR="00C64A6F" w:rsidRDefault="00C64A6F" w:rsidP="002368BF">
            <w:pPr>
              <w:widowControl w:val="0"/>
              <w:autoSpaceDE w:val="0"/>
              <w:autoSpaceDN w:val="0"/>
              <w:adjustRightInd w:val="0"/>
            </w:pPr>
            <w:r>
              <w:t>QIP surcharge percentage.</w:t>
            </w:r>
          </w:p>
        </w:tc>
      </w:tr>
      <w:tr w:rsidR="00C64A6F" w:rsidTr="00BE246A">
        <w:trPr>
          <w:trHeight w:val="576"/>
        </w:trPr>
        <w:tc>
          <w:tcPr>
            <w:tcW w:w="1323" w:type="dxa"/>
          </w:tcPr>
          <w:p w:rsidR="00C64A6F" w:rsidRDefault="00C64A6F" w:rsidP="002368BF">
            <w:pPr>
              <w:widowControl w:val="0"/>
              <w:autoSpaceDE w:val="0"/>
              <w:autoSpaceDN w:val="0"/>
              <w:adjustRightInd w:val="0"/>
            </w:pPr>
            <w:r>
              <w:t>NetQIP</w:t>
            </w:r>
          </w:p>
        </w:tc>
        <w:tc>
          <w:tcPr>
            <w:tcW w:w="274" w:type="dxa"/>
          </w:tcPr>
          <w:p w:rsidR="00C64A6F" w:rsidRDefault="00C64A6F" w:rsidP="00BE246A">
            <w:pPr>
              <w:widowControl w:val="0"/>
              <w:autoSpaceDE w:val="0"/>
              <w:autoSpaceDN w:val="0"/>
              <w:adjustRightInd w:val="0"/>
              <w:ind w:left="-108" w:right="-104"/>
              <w:jc w:val="center"/>
            </w:pPr>
            <w:r>
              <w:t>=</w:t>
            </w:r>
          </w:p>
        </w:tc>
        <w:tc>
          <w:tcPr>
            <w:tcW w:w="5486" w:type="dxa"/>
          </w:tcPr>
          <w:p w:rsidR="00C64A6F" w:rsidRDefault="00C64A6F" w:rsidP="000B0417">
            <w:pPr>
              <w:widowControl w:val="0"/>
              <w:autoSpaceDE w:val="0"/>
              <w:autoSpaceDN w:val="0"/>
              <w:adjustRightInd w:val="0"/>
            </w:pPr>
            <w:r>
              <w:t xml:space="preserve">Original cost of QIP less accumulated depreciation </w:t>
            </w:r>
            <w:r w:rsidR="00587899">
              <w:t xml:space="preserve">and any accumulated deferred income tax (ADIT) liabilities net of deferred tax assets resulting from the QIP </w:t>
            </w:r>
            <w:r>
              <w:t>for the rate zone. NetQIP shall be the level of investment in QIP existing at the end of the calendar month in which an investment sheet is filed</w:t>
            </w:r>
            <w:r w:rsidR="00587899">
              <w:t>, net of depreciation and any ADIT liabilities (net of deferred tax assets) resulting from the</w:t>
            </w:r>
            <w:r w:rsidR="00C626FB">
              <w:t xml:space="preserve"> QIP</w:t>
            </w:r>
            <w:r>
              <w:t>.</w:t>
            </w:r>
          </w:p>
        </w:tc>
      </w:tr>
      <w:tr w:rsidR="00587899" w:rsidTr="00BE246A">
        <w:trPr>
          <w:trHeight w:val="1323"/>
        </w:trPr>
        <w:tc>
          <w:tcPr>
            <w:tcW w:w="1323" w:type="dxa"/>
          </w:tcPr>
          <w:p w:rsidR="00587899" w:rsidRPr="006A7AF9" w:rsidRDefault="00587899" w:rsidP="002368BF">
            <w:pPr>
              <w:widowControl w:val="0"/>
              <w:autoSpaceDE w:val="0"/>
              <w:autoSpaceDN w:val="0"/>
              <w:adjustRightInd w:val="0"/>
            </w:pPr>
            <w:r>
              <w:t>AdjNetQIP</w:t>
            </w:r>
          </w:p>
        </w:tc>
        <w:tc>
          <w:tcPr>
            <w:tcW w:w="274" w:type="dxa"/>
          </w:tcPr>
          <w:p w:rsidR="00587899" w:rsidRDefault="00587899" w:rsidP="00BE246A">
            <w:pPr>
              <w:widowControl w:val="0"/>
              <w:autoSpaceDE w:val="0"/>
              <w:autoSpaceDN w:val="0"/>
              <w:adjustRightInd w:val="0"/>
              <w:ind w:left="-108" w:right="-104"/>
              <w:jc w:val="center"/>
            </w:pPr>
            <w:r>
              <w:t>=</w:t>
            </w:r>
          </w:p>
        </w:tc>
        <w:tc>
          <w:tcPr>
            <w:tcW w:w="5486" w:type="dxa"/>
          </w:tcPr>
          <w:p w:rsidR="00587899" w:rsidRDefault="00587899" w:rsidP="002368BF">
            <w:pPr>
              <w:widowControl w:val="0"/>
              <w:autoSpaceDE w:val="0"/>
              <w:autoSpaceDN w:val="0"/>
              <w:adjustRightInd w:val="0"/>
            </w:pPr>
            <w:r w:rsidRPr="0029353E">
              <w:t>The actual amount of NetQIP as of the end of the QIP forecast period used in the utility's last rate case for the rate zone less the amount of NetQIP the Commission approved to be added to the utility's rate base as of the end of the QIP forecast period.</w:t>
            </w:r>
          </w:p>
        </w:tc>
      </w:tr>
      <w:tr w:rsidR="00C64A6F" w:rsidTr="00BE246A">
        <w:trPr>
          <w:trHeight w:val="396"/>
        </w:trPr>
        <w:tc>
          <w:tcPr>
            <w:tcW w:w="1323" w:type="dxa"/>
          </w:tcPr>
          <w:p w:rsidR="00C64A6F" w:rsidRDefault="00C64A6F" w:rsidP="002368BF">
            <w:pPr>
              <w:widowControl w:val="0"/>
              <w:autoSpaceDE w:val="0"/>
              <w:autoSpaceDN w:val="0"/>
              <w:adjustRightInd w:val="0"/>
            </w:pPr>
            <w:r w:rsidRPr="006A7AF9">
              <w:t>PTR</w:t>
            </w:r>
          </w:p>
        </w:tc>
        <w:tc>
          <w:tcPr>
            <w:tcW w:w="274" w:type="dxa"/>
          </w:tcPr>
          <w:p w:rsidR="00C64A6F" w:rsidRDefault="00C64A6F" w:rsidP="00BE246A">
            <w:pPr>
              <w:widowControl w:val="0"/>
              <w:autoSpaceDE w:val="0"/>
              <w:autoSpaceDN w:val="0"/>
              <w:adjustRightInd w:val="0"/>
              <w:ind w:left="-108" w:right="-104"/>
              <w:jc w:val="center"/>
            </w:pPr>
            <w:r>
              <w:t>=</w:t>
            </w:r>
          </w:p>
        </w:tc>
        <w:tc>
          <w:tcPr>
            <w:tcW w:w="5486" w:type="dxa"/>
          </w:tcPr>
          <w:p w:rsidR="00C64A6F" w:rsidRDefault="00C64A6F" w:rsidP="00293CD7">
            <w:pPr>
              <w:widowControl w:val="0"/>
              <w:autoSpaceDE w:val="0"/>
              <w:autoSpaceDN w:val="0"/>
              <w:adjustRightInd w:val="0"/>
            </w:pPr>
            <w:r>
              <w:t>Pre-tax return as described in Section 656.50(a)(1).</w:t>
            </w:r>
          </w:p>
        </w:tc>
      </w:tr>
      <w:tr w:rsidR="00C64A6F" w:rsidTr="00BE246A">
        <w:trPr>
          <w:trHeight w:val="747"/>
        </w:trPr>
        <w:tc>
          <w:tcPr>
            <w:tcW w:w="1323" w:type="dxa"/>
          </w:tcPr>
          <w:p w:rsidR="00C64A6F" w:rsidRDefault="00E166DD" w:rsidP="00DF7989">
            <w:pPr>
              <w:widowControl w:val="0"/>
              <w:autoSpaceDE w:val="0"/>
              <w:autoSpaceDN w:val="0"/>
              <w:adjustRightInd w:val="0"/>
            </w:pPr>
            <w:r>
              <w:t>Net</w:t>
            </w:r>
            <w:r w:rsidR="00C64A6F" w:rsidRPr="006A7AF9">
              <w:t>Dep</w:t>
            </w:r>
          </w:p>
        </w:tc>
        <w:tc>
          <w:tcPr>
            <w:tcW w:w="274" w:type="dxa"/>
          </w:tcPr>
          <w:p w:rsidR="00C64A6F" w:rsidRDefault="00C64A6F" w:rsidP="00BE246A">
            <w:pPr>
              <w:widowControl w:val="0"/>
              <w:autoSpaceDE w:val="0"/>
              <w:autoSpaceDN w:val="0"/>
              <w:adjustRightInd w:val="0"/>
              <w:ind w:left="-108" w:right="-104"/>
              <w:jc w:val="center"/>
            </w:pPr>
            <w:r>
              <w:t>=</w:t>
            </w:r>
          </w:p>
        </w:tc>
        <w:tc>
          <w:tcPr>
            <w:tcW w:w="5486" w:type="dxa"/>
          </w:tcPr>
          <w:p w:rsidR="00C64A6F" w:rsidRDefault="00C64A6F" w:rsidP="002368BF">
            <w:pPr>
              <w:widowControl w:val="0"/>
              <w:autoSpaceDE w:val="0"/>
              <w:autoSpaceDN w:val="0"/>
              <w:adjustRightInd w:val="0"/>
            </w:pPr>
            <w:r>
              <w:t xml:space="preserve">Net </w:t>
            </w:r>
            <w:r w:rsidR="00E166DD">
              <w:t>quarterly depreciation expense applicable to NetQIP</w:t>
            </w:r>
            <w:r>
              <w:t xml:space="preserve"> </w:t>
            </w:r>
            <w:r w:rsidR="00E166DD">
              <w:t xml:space="preserve">less the quarterly depreciation applicable to the plant being retired. </w:t>
            </w:r>
          </w:p>
        </w:tc>
      </w:tr>
      <w:tr w:rsidR="00587899" w:rsidTr="00BE246A">
        <w:trPr>
          <w:trHeight w:val="1260"/>
        </w:trPr>
        <w:tc>
          <w:tcPr>
            <w:tcW w:w="1323" w:type="dxa"/>
          </w:tcPr>
          <w:p w:rsidR="00587899" w:rsidRDefault="00587899" w:rsidP="002368BF">
            <w:pPr>
              <w:widowControl w:val="0"/>
              <w:autoSpaceDE w:val="0"/>
              <w:autoSpaceDN w:val="0"/>
              <w:adjustRightInd w:val="0"/>
            </w:pPr>
            <w:r>
              <w:t>AdjNetDep</w:t>
            </w:r>
          </w:p>
        </w:tc>
        <w:tc>
          <w:tcPr>
            <w:tcW w:w="274" w:type="dxa"/>
          </w:tcPr>
          <w:p w:rsidR="00587899" w:rsidRDefault="00587899" w:rsidP="00BE246A">
            <w:pPr>
              <w:widowControl w:val="0"/>
              <w:autoSpaceDE w:val="0"/>
              <w:autoSpaceDN w:val="0"/>
              <w:adjustRightInd w:val="0"/>
              <w:ind w:left="-108" w:right="-104"/>
              <w:jc w:val="center"/>
            </w:pPr>
            <w:r>
              <w:t>=</w:t>
            </w:r>
          </w:p>
        </w:tc>
        <w:tc>
          <w:tcPr>
            <w:tcW w:w="5486" w:type="dxa"/>
          </w:tcPr>
          <w:p w:rsidR="00587899" w:rsidRDefault="00587899" w:rsidP="002368BF">
            <w:pPr>
              <w:widowControl w:val="0"/>
              <w:autoSpaceDE w:val="0"/>
              <w:autoSpaceDN w:val="0"/>
              <w:adjustRightInd w:val="0"/>
            </w:pPr>
            <w:r w:rsidRPr="0029353E">
              <w:t>The actual amount of NetDep applicable to the QIP forecast period used in the utility's last rate case for the rate zone less the amount of NetDep that the Commission approved for the QIP forecast period used in the utility's last rate case for the rate zone.</w:t>
            </w:r>
          </w:p>
        </w:tc>
      </w:tr>
      <w:tr w:rsidR="00C64A6F" w:rsidTr="00BE246A">
        <w:trPr>
          <w:trHeight w:val="2043"/>
        </w:trPr>
        <w:tc>
          <w:tcPr>
            <w:tcW w:w="1323" w:type="dxa"/>
          </w:tcPr>
          <w:p w:rsidR="00C64A6F" w:rsidRDefault="00C64A6F" w:rsidP="002368BF">
            <w:pPr>
              <w:widowControl w:val="0"/>
              <w:autoSpaceDE w:val="0"/>
              <w:autoSpaceDN w:val="0"/>
              <w:adjustRightInd w:val="0"/>
            </w:pPr>
            <w:r>
              <w:lastRenderedPageBreak/>
              <w:t>R</w:t>
            </w:r>
          </w:p>
        </w:tc>
        <w:tc>
          <w:tcPr>
            <w:tcW w:w="274" w:type="dxa"/>
          </w:tcPr>
          <w:p w:rsidR="00C64A6F" w:rsidRDefault="00C64A6F" w:rsidP="00BE246A">
            <w:pPr>
              <w:widowControl w:val="0"/>
              <w:autoSpaceDE w:val="0"/>
              <w:autoSpaceDN w:val="0"/>
              <w:adjustRightInd w:val="0"/>
              <w:ind w:left="-108" w:right="-104"/>
              <w:jc w:val="center"/>
            </w:pPr>
            <w:r>
              <w:t>=</w:t>
            </w:r>
          </w:p>
        </w:tc>
        <w:tc>
          <w:tcPr>
            <w:tcW w:w="5486" w:type="dxa"/>
          </w:tcPr>
          <w:p w:rsidR="00C64A6F" w:rsidRDefault="00C64A6F" w:rsidP="00293CD7">
            <w:pPr>
              <w:widowControl w:val="0"/>
              <w:autoSpaceDE w:val="0"/>
              <w:autoSpaceDN w:val="0"/>
              <w:adjustRightInd w:val="0"/>
            </w:pPr>
            <w:r>
              <w:t>Utility-determined reconciliation component calculated for the reconciliation year under the reconciliation feature as described in Section 656.80(d). The reconciliation component shall be collected over nine months from April through December.</w:t>
            </w:r>
            <w:r w:rsidR="00E166DD">
              <w:t xml:space="preserve"> No reconciliation component amount shall be included for the January through March quarter.</w:t>
            </w:r>
          </w:p>
        </w:tc>
      </w:tr>
      <w:tr w:rsidR="00C64A6F" w:rsidTr="00BE246A">
        <w:trPr>
          <w:trHeight w:val="108"/>
        </w:trPr>
        <w:tc>
          <w:tcPr>
            <w:tcW w:w="1323" w:type="dxa"/>
          </w:tcPr>
          <w:p w:rsidR="00C64A6F" w:rsidRDefault="00C64A6F" w:rsidP="002368BF">
            <w:pPr>
              <w:widowControl w:val="0"/>
              <w:autoSpaceDE w:val="0"/>
              <w:autoSpaceDN w:val="0"/>
              <w:adjustRightInd w:val="0"/>
            </w:pPr>
            <w:r>
              <w:t>O</w:t>
            </w:r>
          </w:p>
        </w:tc>
        <w:tc>
          <w:tcPr>
            <w:tcW w:w="274" w:type="dxa"/>
          </w:tcPr>
          <w:p w:rsidR="00C64A6F" w:rsidRDefault="00C64A6F" w:rsidP="00BE246A">
            <w:pPr>
              <w:widowControl w:val="0"/>
              <w:autoSpaceDE w:val="0"/>
              <w:autoSpaceDN w:val="0"/>
              <w:adjustRightInd w:val="0"/>
              <w:ind w:left="-108" w:right="-104"/>
              <w:jc w:val="center"/>
            </w:pPr>
            <w:r>
              <w:t>=</w:t>
            </w:r>
          </w:p>
        </w:tc>
        <w:tc>
          <w:tcPr>
            <w:tcW w:w="5486" w:type="dxa"/>
          </w:tcPr>
          <w:p w:rsidR="00C64A6F" w:rsidRDefault="00C64A6F" w:rsidP="002368BF">
            <w:pPr>
              <w:widowControl w:val="0"/>
              <w:autoSpaceDE w:val="0"/>
              <w:autoSpaceDN w:val="0"/>
              <w:adjustRightInd w:val="0"/>
            </w:pPr>
            <w:r>
              <w:t>Commission-ordered adjustment component.</w:t>
            </w:r>
          </w:p>
        </w:tc>
      </w:tr>
      <w:tr w:rsidR="00C64A6F" w:rsidTr="00BE246A">
        <w:trPr>
          <w:trHeight w:val="549"/>
        </w:trPr>
        <w:tc>
          <w:tcPr>
            <w:tcW w:w="1323" w:type="dxa"/>
          </w:tcPr>
          <w:p w:rsidR="00C64A6F" w:rsidRDefault="00C64A6F" w:rsidP="002368BF">
            <w:pPr>
              <w:widowControl w:val="0"/>
              <w:autoSpaceDE w:val="0"/>
              <w:autoSpaceDN w:val="0"/>
              <w:adjustRightInd w:val="0"/>
            </w:pPr>
            <w:r>
              <w:t>INT</w:t>
            </w:r>
          </w:p>
        </w:tc>
        <w:tc>
          <w:tcPr>
            <w:tcW w:w="274" w:type="dxa"/>
          </w:tcPr>
          <w:p w:rsidR="00C64A6F" w:rsidRDefault="00C64A6F" w:rsidP="00BE246A">
            <w:pPr>
              <w:widowControl w:val="0"/>
              <w:autoSpaceDE w:val="0"/>
              <w:autoSpaceDN w:val="0"/>
              <w:adjustRightInd w:val="0"/>
              <w:ind w:left="-108" w:right="-104"/>
              <w:jc w:val="center"/>
            </w:pPr>
            <w:r>
              <w:t>=</w:t>
            </w:r>
          </w:p>
        </w:tc>
        <w:tc>
          <w:tcPr>
            <w:tcW w:w="5486" w:type="dxa"/>
          </w:tcPr>
          <w:p w:rsidR="00C64A6F" w:rsidRDefault="00C64A6F" w:rsidP="00293CD7">
            <w:pPr>
              <w:widowControl w:val="0"/>
              <w:autoSpaceDE w:val="0"/>
              <w:autoSpaceDN w:val="0"/>
              <w:adjustRightInd w:val="0"/>
            </w:pPr>
            <w:r>
              <w:t xml:space="preserve">The calculated interest attributable to the O component. This interest shall be calculated as described in Section 656.80(i). </w:t>
            </w:r>
          </w:p>
        </w:tc>
      </w:tr>
      <w:tr w:rsidR="00C64A6F" w:rsidTr="00BE246A">
        <w:trPr>
          <w:trHeight w:val="547"/>
        </w:trPr>
        <w:tc>
          <w:tcPr>
            <w:tcW w:w="1323" w:type="dxa"/>
          </w:tcPr>
          <w:p w:rsidR="00C64A6F" w:rsidRDefault="00C64A6F" w:rsidP="002368BF">
            <w:pPr>
              <w:widowControl w:val="0"/>
              <w:autoSpaceDE w:val="0"/>
              <w:autoSpaceDN w:val="0"/>
              <w:adjustRightInd w:val="0"/>
            </w:pPr>
            <w:r>
              <w:t>Om</w:t>
            </w:r>
          </w:p>
        </w:tc>
        <w:tc>
          <w:tcPr>
            <w:tcW w:w="274" w:type="dxa"/>
          </w:tcPr>
          <w:p w:rsidR="00C64A6F" w:rsidRDefault="00C64A6F" w:rsidP="00BE246A">
            <w:pPr>
              <w:widowControl w:val="0"/>
              <w:autoSpaceDE w:val="0"/>
              <w:autoSpaceDN w:val="0"/>
              <w:adjustRightInd w:val="0"/>
              <w:ind w:left="-108" w:right="-104"/>
              <w:jc w:val="center"/>
            </w:pPr>
            <w:r>
              <w:t>=</w:t>
            </w:r>
          </w:p>
        </w:tc>
        <w:tc>
          <w:tcPr>
            <w:tcW w:w="5486" w:type="dxa"/>
          </w:tcPr>
          <w:p w:rsidR="00C64A6F" w:rsidRDefault="00C64A6F" w:rsidP="002368BF">
            <w:pPr>
              <w:widowControl w:val="0"/>
              <w:autoSpaceDE w:val="0"/>
              <w:autoSpaceDN w:val="0"/>
              <w:adjustRightInd w:val="0"/>
            </w:pPr>
            <w:r>
              <w:t xml:space="preserve">The Commission-ordered O component multiplier. Om is a timing factor applied to the O component and the INT to allow for the collection of the O component and the INT over the remainder of the operation year.  For example, if the O component and the INT were included in the QIP surcharge percentage on January 1, the Om would be </w:t>
            </w:r>
            <w:r w:rsidR="00E166DD">
              <w:t>0.25</w:t>
            </w:r>
            <w:r>
              <w:t>. Similarly, if the O component and the INT were included in the QIP surcharge percentage on April 1, the Om would be</w:t>
            </w:r>
            <w:r w:rsidR="00E166DD">
              <w:t xml:space="preserve"> </w:t>
            </w:r>
            <w:r>
              <w:t>.33.</w:t>
            </w:r>
          </w:p>
        </w:tc>
      </w:tr>
      <w:tr w:rsidR="00C64A6F" w:rsidTr="00BE246A">
        <w:tc>
          <w:tcPr>
            <w:tcW w:w="1323" w:type="dxa"/>
          </w:tcPr>
          <w:p w:rsidR="00C64A6F" w:rsidRDefault="00C64A6F" w:rsidP="002368BF">
            <w:pPr>
              <w:widowControl w:val="0"/>
              <w:autoSpaceDE w:val="0"/>
              <w:autoSpaceDN w:val="0"/>
              <w:adjustRightInd w:val="0"/>
            </w:pPr>
            <w:r>
              <w:t>P</w:t>
            </w:r>
            <w:r w:rsidR="00E166DD">
              <w:t>Q</w:t>
            </w:r>
            <w:r>
              <w:t>R</w:t>
            </w:r>
          </w:p>
        </w:tc>
        <w:tc>
          <w:tcPr>
            <w:tcW w:w="274" w:type="dxa"/>
          </w:tcPr>
          <w:p w:rsidR="00C64A6F" w:rsidRDefault="00C64A6F" w:rsidP="00BE246A">
            <w:pPr>
              <w:widowControl w:val="0"/>
              <w:autoSpaceDE w:val="0"/>
              <w:autoSpaceDN w:val="0"/>
              <w:adjustRightInd w:val="0"/>
              <w:ind w:left="-108" w:right="-104"/>
              <w:jc w:val="center"/>
            </w:pPr>
            <w:r>
              <w:t>=</w:t>
            </w:r>
          </w:p>
        </w:tc>
        <w:tc>
          <w:tcPr>
            <w:tcW w:w="5486" w:type="dxa"/>
          </w:tcPr>
          <w:p w:rsidR="00C64A6F" w:rsidRDefault="007E7B3F" w:rsidP="00293CD7">
            <w:pPr>
              <w:widowControl w:val="0"/>
              <w:autoSpaceDE w:val="0"/>
              <w:autoSpaceDN w:val="0"/>
              <w:adjustRightInd w:val="0"/>
            </w:pPr>
            <w:r>
              <w:t>Projected</w:t>
            </w:r>
            <w:r w:rsidR="00C64A6F">
              <w:t xml:space="preserve"> </w:t>
            </w:r>
            <w:r w:rsidR="00E166DD">
              <w:t>quarterly water</w:t>
            </w:r>
            <w:r w:rsidR="00C64A6F">
              <w:t xml:space="preserve"> or sewer QIP base rate revenues, as applicable, for the rate zone </w:t>
            </w:r>
            <w:r w:rsidR="00E166DD">
              <w:t>during</w:t>
            </w:r>
            <w:r w:rsidR="00C64A6F">
              <w:t xml:space="preserve"> the </w:t>
            </w:r>
            <w:r w:rsidR="00E166DD">
              <w:t xml:space="preserve">calendar quarter when the QIP surcharge percentage shall be in effect. </w:t>
            </w:r>
            <w:r w:rsidR="00C64A6F">
              <w:t xml:space="preserve">The projected </w:t>
            </w:r>
            <w:r w:rsidR="00E166DD">
              <w:t xml:space="preserve">quarterly </w:t>
            </w:r>
            <w:r w:rsidR="00C64A6F">
              <w:t>revenue shall not include the exclusions listed in Section 656.30(a).</w:t>
            </w:r>
          </w:p>
        </w:tc>
      </w:tr>
    </w:tbl>
    <w:p w:rsidR="00F21266" w:rsidRDefault="00F21266" w:rsidP="00276020">
      <w:pPr>
        <w:widowControl w:val="0"/>
        <w:autoSpaceDE w:val="0"/>
        <w:autoSpaceDN w:val="0"/>
        <w:adjustRightInd w:val="0"/>
        <w:ind w:left="2160"/>
      </w:pPr>
    </w:p>
    <w:p w:rsidR="00F21266" w:rsidRPr="0029353E" w:rsidRDefault="00F21266" w:rsidP="00293CD7">
      <w:pPr>
        <w:ind w:left="2160"/>
      </w:pPr>
      <w:r w:rsidRPr="0029353E">
        <w:t xml:space="preserve">Following the final order in each rate case, and before the Effective Month that will initiate the inclusion of AdjNetQIP and AdjNetDep, the utility shall file a public document in the rate case that provides the calculation of AdjNetQIP and AdjNetDep, including each component </w:t>
      </w:r>
      <w:r w:rsidR="00293CD7">
        <w:t xml:space="preserve">used </w:t>
      </w:r>
      <w:r w:rsidRPr="0029353E">
        <w:t>to determine AdjNetQIP and AdjNetDep.</w:t>
      </w:r>
    </w:p>
    <w:p w:rsidR="004D22D3" w:rsidRDefault="004D22D3" w:rsidP="00D06D55">
      <w:pPr>
        <w:widowControl w:val="0"/>
        <w:autoSpaceDE w:val="0"/>
        <w:autoSpaceDN w:val="0"/>
        <w:adjustRightInd w:val="0"/>
        <w:ind w:left="1440" w:hanging="720"/>
      </w:pPr>
    </w:p>
    <w:p w:rsidR="00D06D55" w:rsidRDefault="004D22D3" w:rsidP="00D06D55">
      <w:pPr>
        <w:widowControl w:val="0"/>
        <w:autoSpaceDE w:val="0"/>
        <w:autoSpaceDN w:val="0"/>
        <w:adjustRightInd w:val="0"/>
        <w:ind w:left="1440" w:hanging="720"/>
      </w:pPr>
      <w:r>
        <w:t xml:space="preserve">(Source:  Amended at 40 Ill. Reg. </w:t>
      </w:r>
      <w:r w:rsidR="00336826">
        <w:t>9467</w:t>
      </w:r>
      <w:r>
        <w:t xml:space="preserve">, effective </w:t>
      </w:r>
      <w:bookmarkStart w:id="0" w:name="_GoBack"/>
      <w:r w:rsidR="00336826">
        <w:t>July 1, 2016</w:t>
      </w:r>
      <w:bookmarkEnd w:id="0"/>
      <w:r>
        <w:t>)</w:t>
      </w:r>
    </w:p>
    <w:sectPr w:rsidR="00D06D55" w:rsidSect="00D06D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6D55"/>
    <w:rsid w:val="000421C5"/>
    <w:rsid w:val="000B0417"/>
    <w:rsid w:val="000F7AE4"/>
    <w:rsid w:val="00135B09"/>
    <w:rsid w:val="002368BF"/>
    <w:rsid w:val="00276020"/>
    <w:rsid w:val="00293CD7"/>
    <w:rsid w:val="00336826"/>
    <w:rsid w:val="00385DCD"/>
    <w:rsid w:val="003A16C5"/>
    <w:rsid w:val="003B26A9"/>
    <w:rsid w:val="0041057F"/>
    <w:rsid w:val="004202BE"/>
    <w:rsid w:val="004A74D5"/>
    <w:rsid w:val="004D22D3"/>
    <w:rsid w:val="00546F90"/>
    <w:rsid w:val="00587899"/>
    <w:rsid w:val="005C3366"/>
    <w:rsid w:val="0062075E"/>
    <w:rsid w:val="006A7AF9"/>
    <w:rsid w:val="00716208"/>
    <w:rsid w:val="00725F4F"/>
    <w:rsid w:val="007E7B3F"/>
    <w:rsid w:val="00805505"/>
    <w:rsid w:val="00870C66"/>
    <w:rsid w:val="00917571"/>
    <w:rsid w:val="0094631E"/>
    <w:rsid w:val="009762C5"/>
    <w:rsid w:val="00A22910"/>
    <w:rsid w:val="00AA6791"/>
    <w:rsid w:val="00AC26AE"/>
    <w:rsid w:val="00AC6B1D"/>
    <w:rsid w:val="00B66A2F"/>
    <w:rsid w:val="00BD5440"/>
    <w:rsid w:val="00BE246A"/>
    <w:rsid w:val="00BF1969"/>
    <w:rsid w:val="00C43B41"/>
    <w:rsid w:val="00C626FB"/>
    <w:rsid w:val="00C64A6F"/>
    <w:rsid w:val="00D024DB"/>
    <w:rsid w:val="00D06D55"/>
    <w:rsid w:val="00DF105C"/>
    <w:rsid w:val="00DF7989"/>
    <w:rsid w:val="00E166DD"/>
    <w:rsid w:val="00F21266"/>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F370BE2-F50E-4AB8-94A3-2645E052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656</vt:lpstr>
    </vt:vector>
  </TitlesOfParts>
  <Company>State of Illinois</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656</dc:title>
  <dc:subject/>
  <dc:creator>Illinois General Assembly</dc:creator>
  <cp:keywords/>
  <dc:description/>
  <cp:lastModifiedBy>BockewitzCK</cp:lastModifiedBy>
  <cp:revision>3</cp:revision>
  <cp:lastPrinted>2015-09-29T21:14:00Z</cp:lastPrinted>
  <dcterms:created xsi:type="dcterms:W3CDTF">2016-06-10T13:35:00Z</dcterms:created>
  <dcterms:modified xsi:type="dcterms:W3CDTF">2016-07-18T19:18:00Z</dcterms:modified>
</cp:coreProperties>
</file>