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F8" w:rsidRPr="008340F8" w:rsidRDefault="008340F8" w:rsidP="003729DF">
      <w:pPr>
        <w:outlineLvl w:val="0"/>
        <w:rPr>
          <w:color w:val="000000"/>
        </w:rPr>
      </w:pPr>
      <w:bookmarkStart w:id="0" w:name="_GoBack"/>
      <w:bookmarkEnd w:id="0"/>
    </w:p>
    <w:p w:rsidR="003729DF" w:rsidRPr="003729DF" w:rsidRDefault="003729DF" w:rsidP="003729DF">
      <w:pPr>
        <w:outlineLvl w:val="0"/>
        <w:rPr>
          <w:b/>
          <w:color w:val="000000"/>
        </w:rPr>
      </w:pPr>
      <w:r w:rsidRPr="003729DF">
        <w:rPr>
          <w:b/>
          <w:color w:val="000000"/>
        </w:rPr>
        <w:t>Section 602.70</w:t>
      </w:r>
      <w:r w:rsidR="00282E11">
        <w:rPr>
          <w:b/>
          <w:color w:val="000000"/>
        </w:rPr>
        <w:t xml:space="preserve"> </w:t>
      </w:r>
      <w:r w:rsidRPr="003729DF">
        <w:rPr>
          <w:b/>
          <w:color w:val="000000"/>
        </w:rPr>
        <w:t xml:space="preserve"> Sanctions</w:t>
      </w:r>
    </w:p>
    <w:p w:rsidR="003729DF" w:rsidRPr="003729DF" w:rsidRDefault="003729DF" w:rsidP="003729DF">
      <w:pPr>
        <w:rPr>
          <w:color w:val="000000"/>
        </w:rPr>
      </w:pPr>
    </w:p>
    <w:p w:rsidR="003729DF" w:rsidRPr="003729DF" w:rsidRDefault="003729DF" w:rsidP="003729DF">
      <w:pPr>
        <w:rPr>
          <w:color w:val="000000"/>
        </w:rPr>
      </w:pPr>
      <w:r w:rsidRPr="003729DF">
        <w:rPr>
          <w:color w:val="000000"/>
        </w:rPr>
        <w:t>Upon complaint or upon its own motion the Commission may find that a public utility has not met the requirements or standards established in this Part.</w:t>
      </w:r>
      <w:r w:rsidR="008340F8">
        <w:rPr>
          <w:color w:val="000000"/>
        </w:rPr>
        <w:t xml:space="preserve"> </w:t>
      </w:r>
      <w:r w:rsidRPr="003729DF">
        <w:rPr>
          <w:color w:val="000000"/>
        </w:rPr>
        <w:t xml:space="preserve"> Upon such a finding, the Commission may pursue any penalties, including, but not limited to, injunctive relief, that are within the authority granted to it under the Act.</w:t>
      </w:r>
    </w:p>
    <w:sectPr w:rsidR="003729DF" w:rsidRPr="003729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21" w:rsidRDefault="00246421">
      <w:r>
        <w:separator/>
      </w:r>
    </w:p>
  </w:endnote>
  <w:endnote w:type="continuationSeparator" w:id="0">
    <w:p w:rsidR="00246421" w:rsidRDefault="0024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21" w:rsidRDefault="00246421">
      <w:r>
        <w:separator/>
      </w:r>
    </w:p>
  </w:footnote>
  <w:footnote w:type="continuationSeparator" w:id="0">
    <w:p w:rsidR="00246421" w:rsidRDefault="0024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9D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421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2E11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9DF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4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AAB"/>
    <w:rsid w:val="005D35F3"/>
    <w:rsid w:val="005E03A7"/>
    <w:rsid w:val="005E3D55"/>
    <w:rsid w:val="005F2891"/>
    <w:rsid w:val="006108A2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4A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0F8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2E7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640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057C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281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