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67" w:rsidRDefault="00187067" w:rsidP="00380A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Section</w:t>
      </w:r>
    </w:p>
    <w:p w:rsidR="00187067" w:rsidRDefault="00187067" w:rsidP="00380A43">
      <w:pPr>
        <w:widowControl w:val="0"/>
        <w:autoSpaceDE w:val="0"/>
        <w:autoSpaceDN w:val="0"/>
        <w:adjustRightInd w:val="0"/>
        <w:ind w:left="1200" w:hanging="1200"/>
      </w:pPr>
      <w:r>
        <w:t>550.10</w:t>
      </w:r>
      <w:r>
        <w:tab/>
      </w:r>
      <w:r w:rsidR="00380A43">
        <w:tab/>
      </w:r>
      <w:r>
        <w:t xml:space="preserve">Definitions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550.20</w:t>
      </w:r>
      <w:r>
        <w:tab/>
      </w:r>
      <w:r w:rsidR="00380A43">
        <w:tab/>
      </w:r>
      <w:r>
        <w:t xml:space="preserve">Non-Discrimination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550.30</w:t>
      </w:r>
      <w:r w:rsidR="00380A43">
        <w:tab/>
      </w:r>
      <w:r>
        <w:tab/>
        <w:t xml:space="preserve">Marketing and Advertising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550.40</w:t>
      </w:r>
      <w:r>
        <w:tab/>
      </w:r>
      <w:r w:rsidR="00380A43">
        <w:tab/>
      </w:r>
      <w:r>
        <w:t xml:space="preserve">Tying </w:t>
      </w:r>
    </w:p>
    <w:p w:rsidR="00187067" w:rsidRDefault="00187067" w:rsidP="00380A43">
      <w:pPr>
        <w:widowControl w:val="0"/>
        <w:autoSpaceDE w:val="0"/>
        <w:autoSpaceDN w:val="0"/>
        <w:adjustRightInd w:val="0"/>
        <w:ind w:left="1440" w:hanging="1440"/>
      </w:pPr>
      <w:r>
        <w:t>550.50</w:t>
      </w:r>
      <w:r>
        <w:tab/>
        <w:t xml:space="preserve">Release, Assignment, Transfer, and Brokering of Interstate Natural Gas Pipeline and Storage Services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550.60</w:t>
      </w:r>
      <w:r w:rsidR="00380A43">
        <w:tab/>
      </w:r>
      <w:r>
        <w:tab/>
        <w:t xml:space="preserve">Nondiscriminatory Provision of Information to Unaffiliated Entities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550.70</w:t>
      </w:r>
      <w:r w:rsidR="00380A43">
        <w:tab/>
      </w:r>
      <w:r w:rsidR="00380A43">
        <w:tab/>
      </w:r>
      <w:r>
        <w:t xml:space="preserve">Customer Information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550.80</w:t>
      </w:r>
      <w:r>
        <w:tab/>
      </w:r>
      <w:r w:rsidR="00380A43">
        <w:tab/>
      </w:r>
      <w:r>
        <w:t xml:space="preserve">Exception for Corporate Support Information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550.85</w:t>
      </w:r>
      <w:r>
        <w:tab/>
      </w:r>
      <w:r w:rsidR="00380A43">
        <w:tab/>
      </w:r>
      <w:r>
        <w:t xml:space="preserve">Indirect Information Sharing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550.90</w:t>
      </w:r>
      <w:r>
        <w:tab/>
      </w:r>
      <w:r w:rsidR="00380A43">
        <w:tab/>
      </w:r>
      <w:r>
        <w:t xml:space="preserve">Confidentiality of ARGS Information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550.100</w:t>
      </w:r>
      <w:r>
        <w:tab/>
        <w:t xml:space="preserve">Independent Functioning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550.110</w:t>
      </w:r>
      <w:r>
        <w:tab/>
        <w:t xml:space="preserve">Employees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550.120</w:t>
      </w:r>
      <w:r>
        <w:tab/>
        <w:t xml:space="preserve">Transfer of Goods and Services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550.130</w:t>
      </w:r>
      <w:r>
        <w:tab/>
        <w:t xml:space="preserve">List of Affiliated Interests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550.140</w:t>
      </w:r>
      <w:r>
        <w:tab/>
        <w:t xml:space="preserve">Maintenance of Books and Records and Commission Access </w:t>
      </w:r>
    </w:p>
    <w:p w:rsidR="00187067" w:rsidRDefault="00187067" w:rsidP="00380A43">
      <w:pPr>
        <w:widowControl w:val="0"/>
        <w:autoSpaceDE w:val="0"/>
        <w:autoSpaceDN w:val="0"/>
        <w:adjustRightInd w:val="0"/>
      </w:pPr>
      <w:r>
        <w:t>550.150</w:t>
      </w:r>
      <w:r>
        <w:tab/>
        <w:t xml:space="preserve">Internal Audits </w:t>
      </w:r>
    </w:p>
    <w:p w:rsidR="00187067" w:rsidRDefault="00187067" w:rsidP="00380A43">
      <w:pPr>
        <w:widowControl w:val="0"/>
        <w:autoSpaceDE w:val="0"/>
        <w:autoSpaceDN w:val="0"/>
        <w:adjustRightInd w:val="0"/>
        <w:ind w:left="1200" w:hanging="1200"/>
      </w:pPr>
      <w:r>
        <w:t>550.160</w:t>
      </w:r>
      <w:r>
        <w:tab/>
      </w:r>
      <w:r w:rsidR="008C4631">
        <w:tab/>
      </w:r>
      <w:r>
        <w:t xml:space="preserve">Complaint Procedures </w:t>
      </w:r>
    </w:p>
    <w:sectPr w:rsidR="00187067" w:rsidSect="00380A4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067"/>
    <w:rsid w:val="000943A0"/>
    <w:rsid w:val="00187067"/>
    <w:rsid w:val="00380A43"/>
    <w:rsid w:val="0046370E"/>
    <w:rsid w:val="006E1C4C"/>
    <w:rsid w:val="008C4631"/>
    <w:rsid w:val="00DE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MessingerRR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