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13A" w:rsidRDefault="0098013A" w:rsidP="00FE3D85">
      <w:pPr>
        <w:jc w:val="center"/>
      </w:pPr>
      <w:bookmarkStart w:id="0" w:name="_GoBack"/>
      <w:bookmarkEnd w:id="0"/>
    </w:p>
    <w:p w:rsidR="00FE3D85" w:rsidRPr="00D20052" w:rsidRDefault="00FE3D85" w:rsidP="00FE3D85">
      <w:pPr>
        <w:jc w:val="center"/>
      </w:pPr>
      <w:r w:rsidRPr="00D20052">
        <w:t xml:space="preserve">SUBPART A: </w:t>
      </w:r>
      <w:r w:rsidR="00190502">
        <w:t xml:space="preserve"> </w:t>
      </w:r>
      <w:r w:rsidRPr="00D20052">
        <w:t>GENERAL</w:t>
      </w:r>
    </w:p>
    <w:p w:rsidR="00FE3D85" w:rsidRPr="00D20052" w:rsidRDefault="00FE3D85" w:rsidP="00FE3D85">
      <w:pPr>
        <w:jc w:val="center"/>
      </w:pPr>
    </w:p>
    <w:p w:rsidR="004633FA" w:rsidRPr="004633FA" w:rsidRDefault="004633FA" w:rsidP="004633FA">
      <w:r w:rsidRPr="004633FA">
        <w:t>Section</w:t>
      </w:r>
    </w:p>
    <w:p w:rsidR="004633FA" w:rsidRPr="004633FA" w:rsidRDefault="004633FA" w:rsidP="004633FA">
      <w:pPr>
        <w:ind w:left="1440" w:hanging="1440"/>
        <w:jc w:val="both"/>
      </w:pPr>
      <w:r w:rsidRPr="004633FA">
        <w:t>535.10</w:t>
      </w:r>
      <w:r w:rsidRPr="004633FA">
        <w:tab/>
        <w:t>Definitions</w:t>
      </w:r>
    </w:p>
    <w:p w:rsidR="004633FA" w:rsidRPr="004633FA" w:rsidRDefault="004633FA" w:rsidP="004633FA">
      <w:pPr>
        <w:ind w:left="1440" w:hanging="1440"/>
        <w:jc w:val="both"/>
      </w:pPr>
      <w:r w:rsidRPr="004633FA">
        <w:t>535.20</w:t>
      </w:r>
      <w:r w:rsidRPr="004633FA">
        <w:tab/>
        <w:t>Application</w:t>
      </w:r>
    </w:p>
    <w:p w:rsidR="004633FA" w:rsidRPr="004633FA" w:rsidRDefault="004633FA" w:rsidP="004633FA">
      <w:pPr>
        <w:ind w:left="1440" w:hanging="1440"/>
        <w:jc w:val="both"/>
      </w:pPr>
    </w:p>
    <w:p w:rsidR="004633FA" w:rsidRPr="004633FA" w:rsidRDefault="004633FA" w:rsidP="004633FA">
      <w:pPr>
        <w:ind w:left="1440" w:hanging="1440"/>
        <w:jc w:val="center"/>
      </w:pPr>
      <w:r w:rsidRPr="004633FA">
        <w:t xml:space="preserve">SUBPART B: </w:t>
      </w:r>
      <w:r w:rsidR="00190502">
        <w:t xml:space="preserve"> </w:t>
      </w:r>
      <w:r w:rsidRPr="004633FA">
        <w:t>BACKGROUND CHECKS</w:t>
      </w:r>
    </w:p>
    <w:p w:rsidR="004633FA" w:rsidRPr="004633FA" w:rsidRDefault="004633FA" w:rsidP="004633FA">
      <w:pPr>
        <w:ind w:left="1440" w:hanging="1440"/>
        <w:jc w:val="both"/>
      </w:pPr>
    </w:p>
    <w:p w:rsidR="004633FA" w:rsidRPr="004633FA" w:rsidRDefault="004633FA" w:rsidP="004633FA">
      <w:pPr>
        <w:ind w:left="1440" w:hanging="1440"/>
        <w:jc w:val="both"/>
      </w:pPr>
      <w:r w:rsidRPr="004633FA">
        <w:t>Section</w:t>
      </w:r>
    </w:p>
    <w:p w:rsidR="004633FA" w:rsidRPr="004633FA" w:rsidRDefault="004633FA" w:rsidP="004633FA">
      <w:pPr>
        <w:ind w:left="1440" w:hanging="1440"/>
        <w:jc w:val="both"/>
      </w:pPr>
      <w:r w:rsidRPr="004633FA">
        <w:t>535.100</w:t>
      </w:r>
      <w:r w:rsidRPr="004633FA">
        <w:tab/>
        <w:t>Background Checks</w:t>
      </w:r>
    </w:p>
    <w:p w:rsidR="004633FA" w:rsidRPr="004633FA" w:rsidRDefault="004633FA" w:rsidP="004633FA">
      <w:pPr>
        <w:ind w:left="1440" w:hanging="1440"/>
        <w:jc w:val="both"/>
      </w:pPr>
    </w:p>
    <w:p w:rsidR="004633FA" w:rsidRPr="004633FA" w:rsidRDefault="004633FA" w:rsidP="004633FA">
      <w:pPr>
        <w:ind w:left="1440" w:hanging="1440"/>
        <w:jc w:val="center"/>
      </w:pPr>
      <w:r w:rsidRPr="004633FA">
        <w:t xml:space="preserve">SUBPART C: </w:t>
      </w:r>
      <w:r w:rsidR="00190502">
        <w:t xml:space="preserve"> </w:t>
      </w:r>
      <w:r w:rsidRPr="004633FA">
        <w:t>MERCURY COMPLIANCE</w:t>
      </w:r>
    </w:p>
    <w:p w:rsidR="004633FA" w:rsidRPr="004633FA" w:rsidRDefault="004633FA" w:rsidP="004633FA">
      <w:pPr>
        <w:ind w:left="1440" w:hanging="1440"/>
        <w:jc w:val="both"/>
      </w:pPr>
    </w:p>
    <w:p w:rsidR="004633FA" w:rsidRPr="004633FA" w:rsidRDefault="004633FA" w:rsidP="004633FA">
      <w:pPr>
        <w:ind w:left="1440" w:hanging="1440"/>
        <w:jc w:val="both"/>
      </w:pPr>
      <w:r w:rsidRPr="004633FA">
        <w:t>Section</w:t>
      </w:r>
    </w:p>
    <w:p w:rsidR="004633FA" w:rsidRPr="004633FA" w:rsidRDefault="004633FA" w:rsidP="004633FA">
      <w:pPr>
        <w:ind w:left="1440" w:hanging="1440"/>
        <w:jc w:val="both"/>
      </w:pPr>
      <w:r w:rsidRPr="004633FA">
        <w:t>535.200</w:t>
      </w:r>
      <w:r w:rsidRPr="004633FA">
        <w:tab/>
        <w:t>Work Performed on Regulators and Manometers</w:t>
      </w:r>
    </w:p>
    <w:p w:rsidR="004633FA" w:rsidRPr="004633FA" w:rsidRDefault="004633FA" w:rsidP="004633FA">
      <w:pPr>
        <w:ind w:left="1440" w:hanging="1440"/>
        <w:jc w:val="both"/>
      </w:pPr>
      <w:r w:rsidRPr="004633FA">
        <w:t>535.210</w:t>
      </w:r>
      <w:r w:rsidRPr="004633FA">
        <w:tab/>
        <w:t>Reporting Mercury Tests</w:t>
      </w:r>
    </w:p>
    <w:p w:rsidR="004633FA" w:rsidRPr="004633FA" w:rsidRDefault="004633FA" w:rsidP="004633FA">
      <w:pPr>
        <w:ind w:left="1440" w:hanging="1440"/>
        <w:jc w:val="both"/>
      </w:pPr>
      <w:r w:rsidRPr="004633FA">
        <w:t>535.220</w:t>
      </w:r>
      <w:r w:rsidRPr="004633FA">
        <w:tab/>
        <w:t>Mercury Reports to the Commission</w:t>
      </w:r>
    </w:p>
    <w:p w:rsidR="004633FA" w:rsidRPr="004633FA" w:rsidRDefault="004633FA" w:rsidP="004633FA">
      <w:pPr>
        <w:ind w:left="1440" w:hanging="1440"/>
        <w:jc w:val="both"/>
      </w:pPr>
      <w:r w:rsidRPr="004633FA">
        <w:t>535.230</w:t>
      </w:r>
      <w:r w:rsidRPr="004633FA">
        <w:tab/>
        <w:t>Mercury Vapor Air Sample Test Result in Excess of Allowed Levels</w:t>
      </w:r>
    </w:p>
    <w:p w:rsidR="004633FA" w:rsidRPr="004633FA" w:rsidRDefault="004633FA" w:rsidP="004633FA">
      <w:pPr>
        <w:ind w:left="1440" w:hanging="1440"/>
        <w:jc w:val="both"/>
      </w:pPr>
      <w:r w:rsidRPr="004633FA">
        <w:t>535.240</w:t>
      </w:r>
      <w:r w:rsidRPr="004633FA">
        <w:tab/>
        <w:t>Certification of Equipment</w:t>
      </w:r>
    </w:p>
    <w:sectPr w:rsidR="004633FA" w:rsidRPr="004633F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146C8">
      <w:r>
        <w:separator/>
      </w:r>
    </w:p>
  </w:endnote>
  <w:endnote w:type="continuationSeparator" w:id="0">
    <w:p w:rsidR="00000000" w:rsidRDefault="0051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146C8">
      <w:r>
        <w:separator/>
      </w:r>
    </w:p>
  </w:footnote>
  <w:footnote w:type="continuationSeparator" w:id="0">
    <w:p w:rsidR="00000000" w:rsidRDefault="00514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90502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633FA"/>
    <w:rsid w:val="004D5CD6"/>
    <w:rsid w:val="004D73D3"/>
    <w:rsid w:val="005001C5"/>
    <w:rsid w:val="005146C8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013A"/>
    <w:rsid w:val="0098276C"/>
    <w:rsid w:val="009C4011"/>
    <w:rsid w:val="009C4FD4"/>
    <w:rsid w:val="009D4C1A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3D85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