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2580" w14:textId="77777777" w:rsidR="007B4DE3" w:rsidRPr="00A778AD" w:rsidRDefault="007B4DE3" w:rsidP="007B4DE3">
      <w:pPr>
        <w:spacing w:after="0" w:line="240" w:lineRule="auto"/>
      </w:pPr>
    </w:p>
    <w:p w14:paraId="1E99A82C" w14:textId="77777777" w:rsidR="007B4DE3" w:rsidRPr="00A778AD" w:rsidRDefault="007B4DE3" w:rsidP="007B4DE3">
      <w:pPr>
        <w:spacing w:after="0" w:line="240" w:lineRule="auto"/>
        <w:rPr>
          <w:b/>
        </w:rPr>
      </w:pPr>
      <w:r w:rsidRPr="00A778AD">
        <w:rPr>
          <w:b/>
        </w:rPr>
        <w:t xml:space="preserve">Section </w:t>
      </w:r>
      <w:proofErr w:type="gramStart"/>
      <w:r w:rsidRPr="00A778AD">
        <w:rPr>
          <w:b/>
        </w:rPr>
        <w:t>512.30  Waiver</w:t>
      </w:r>
      <w:proofErr w:type="gramEnd"/>
    </w:p>
    <w:p w14:paraId="07D55F74" w14:textId="77777777" w:rsidR="007B4DE3" w:rsidRPr="007B4DE3" w:rsidRDefault="007B4DE3" w:rsidP="007B4DE3">
      <w:pPr>
        <w:spacing w:after="0" w:line="240" w:lineRule="auto"/>
      </w:pPr>
    </w:p>
    <w:p w14:paraId="1FBB92D9" w14:textId="5B963332" w:rsidR="007B4DE3" w:rsidRPr="00A778AD" w:rsidRDefault="007B4DE3" w:rsidP="007B4DE3">
      <w:pPr>
        <w:spacing w:after="0" w:line="240" w:lineRule="auto"/>
        <w:ind w:left="1440" w:hanging="720"/>
      </w:pPr>
      <w:r w:rsidRPr="00A778AD">
        <w:t>a)</w:t>
      </w:r>
      <w:r w:rsidRPr="00A778AD">
        <w:tab/>
        <w:t xml:space="preserve">The Commission, on application or petition of an AGS or </w:t>
      </w:r>
      <w:r w:rsidR="00743970">
        <w:t>g</w:t>
      </w:r>
      <w:r w:rsidRPr="00A778AD">
        <w:t xml:space="preserve">as </w:t>
      </w:r>
      <w:r w:rsidR="00743970">
        <w:t>u</w:t>
      </w:r>
      <w:r w:rsidRPr="00A778AD">
        <w:t xml:space="preserve">tility, may grant a temporary or permanent waiver from this Part, or any applicable subsections contained in this Part, in individual cases in which the Commission finds: </w:t>
      </w:r>
      <w:r>
        <w:t xml:space="preserve"> </w:t>
      </w:r>
    </w:p>
    <w:p w14:paraId="79FD6106" w14:textId="77777777" w:rsidR="007B4DE3" w:rsidRPr="00A778AD" w:rsidRDefault="007B4DE3" w:rsidP="006228A4">
      <w:pPr>
        <w:spacing w:after="0" w:line="240" w:lineRule="auto"/>
      </w:pPr>
    </w:p>
    <w:p w14:paraId="08802D5A" w14:textId="77777777" w:rsidR="007B4DE3" w:rsidRPr="00A778AD" w:rsidRDefault="007B4DE3" w:rsidP="007B4DE3">
      <w:pPr>
        <w:spacing w:after="0" w:line="240" w:lineRule="auto"/>
        <w:ind w:left="1440"/>
      </w:pPr>
      <w:r w:rsidRPr="00A778AD">
        <w:t>1)</w:t>
      </w:r>
      <w:r w:rsidRPr="00A778AD">
        <w:tab/>
        <w:t xml:space="preserve">the provision from which the waiver is granted is not statutorily mandated; </w:t>
      </w:r>
    </w:p>
    <w:p w14:paraId="38588713" w14:textId="77777777" w:rsidR="007B4DE3" w:rsidRPr="00A778AD" w:rsidRDefault="007B4DE3" w:rsidP="006228A4">
      <w:pPr>
        <w:spacing w:after="0" w:line="240" w:lineRule="auto"/>
      </w:pPr>
    </w:p>
    <w:p w14:paraId="3742B247" w14:textId="77777777" w:rsidR="007B4DE3" w:rsidRPr="00A778AD" w:rsidRDefault="007B4DE3" w:rsidP="007B4DE3">
      <w:pPr>
        <w:spacing w:after="0" w:line="240" w:lineRule="auto"/>
        <w:ind w:left="1440"/>
      </w:pPr>
      <w:r w:rsidRPr="00A778AD">
        <w:t>2)</w:t>
      </w:r>
      <w:r w:rsidRPr="00A778AD">
        <w:tab/>
        <w:t xml:space="preserve">no party will be injured by the granting of the waiver; and </w:t>
      </w:r>
    </w:p>
    <w:p w14:paraId="14BE277C" w14:textId="77777777" w:rsidR="007B4DE3" w:rsidRPr="00A778AD" w:rsidRDefault="007B4DE3" w:rsidP="006228A4">
      <w:pPr>
        <w:spacing w:after="0" w:line="240" w:lineRule="auto"/>
      </w:pPr>
    </w:p>
    <w:p w14:paraId="5DFD83C8" w14:textId="77777777" w:rsidR="007B4DE3" w:rsidRPr="00A778AD" w:rsidRDefault="007B4DE3" w:rsidP="007B4DE3">
      <w:pPr>
        <w:spacing w:after="0" w:line="240" w:lineRule="auto"/>
        <w:ind w:left="2160" w:hanging="720"/>
      </w:pPr>
      <w:r w:rsidRPr="00A778AD">
        <w:t>3)</w:t>
      </w:r>
      <w:r w:rsidRPr="00A778AD">
        <w:tab/>
        <w:t xml:space="preserve">the rule from which the waiver is granted would, as applied to the particular case, be unreasonable or unnecessarily burdensome. </w:t>
      </w:r>
    </w:p>
    <w:p w14:paraId="61B57149" w14:textId="77777777" w:rsidR="007B4DE3" w:rsidRPr="00A778AD" w:rsidRDefault="007B4DE3" w:rsidP="007B4DE3">
      <w:pPr>
        <w:spacing w:after="0" w:line="240" w:lineRule="auto"/>
      </w:pPr>
    </w:p>
    <w:p w14:paraId="08C7F15D" w14:textId="77777777" w:rsidR="000174EB" w:rsidRPr="00093935" w:rsidRDefault="007B4DE3" w:rsidP="007B4DE3">
      <w:pPr>
        <w:spacing w:after="0" w:line="240" w:lineRule="auto"/>
        <w:ind w:left="1440" w:hanging="720"/>
      </w:pPr>
      <w:r w:rsidRPr="00A778AD">
        <w:t>b)</w:t>
      </w:r>
      <w:r w:rsidRPr="00A778AD">
        <w:tab/>
        <w:t>The burden of proof in establishing a right to a waiver shall be on the party seeking the waiver.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A95DD" w14:textId="77777777" w:rsidR="00F67BFE" w:rsidRDefault="00F67BFE">
      <w:r>
        <w:separator/>
      </w:r>
    </w:p>
  </w:endnote>
  <w:endnote w:type="continuationSeparator" w:id="0">
    <w:p w14:paraId="4296740D" w14:textId="77777777" w:rsidR="00F67BFE" w:rsidRDefault="00F6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2937" w14:textId="77777777" w:rsidR="00F67BFE" w:rsidRDefault="00F67BFE">
      <w:r>
        <w:separator/>
      </w:r>
    </w:p>
  </w:footnote>
  <w:footnote w:type="continuationSeparator" w:id="0">
    <w:p w14:paraId="6B9906C1" w14:textId="77777777" w:rsidR="00F67BFE" w:rsidRDefault="00F6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8A4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970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DE3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BF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4D140"/>
  <w15:chartTrackingRefBased/>
  <w15:docId w15:val="{E739BED1-DE06-4D02-8E4C-FA052FD2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DE3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535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2021-12-29T18:06:00Z</dcterms:created>
  <dcterms:modified xsi:type="dcterms:W3CDTF">2022-12-09T14:43:00Z</dcterms:modified>
</cp:coreProperties>
</file>