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D9" w:rsidRDefault="008939D9" w:rsidP="008939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9D9" w:rsidRDefault="008939D9" w:rsidP="008939D9">
      <w:pPr>
        <w:widowControl w:val="0"/>
        <w:autoSpaceDE w:val="0"/>
        <w:autoSpaceDN w:val="0"/>
        <w:adjustRightInd w:val="0"/>
        <w:jc w:val="center"/>
      </w:pPr>
      <w:r>
        <w:t>SUBPART C:  PROCEDURES FOR REPORTING CONTINUING COMPLIANCE WITH</w:t>
      </w:r>
    </w:p>
    <w:p w:rsidR="008939D9" w:rsidRDefault="008939D9" w:rsidP="008939D9">
      <w:pPr>
        <w:widowControl w:val="0"/>
        <w:autoSpaceDE w:val="0"/>
        <w:autoSpaceDN w:val="0"/>
        <w:adjustRightInd w:val="0"/>
        <w:jc w:val="center"/>
      </w:pPr>
      <w:r>
        <w:t>CERTIFICATION REQUIREMENTS</w:t>
      </w:r>
    </w:p>
    <w:sectPr w:rsidR="008939D9" w:rsidSect="00893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9D9"/>
    <w:rsid w:val="00027593"/>
    <w:rsid w:val="005C3366"/>
    <w:rsid w:val="008939D9"/>
    <w:rsid w:val="008945A2"/>
    <w:rsid w:val="00D5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REPORTING CONTINUING COMPLIANCE WITH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REPORTING CONTINUING COMPLIANCE WITH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