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88" w:rsidRPr="000B3B88" w:rsidRDefault="000B3B88" w:rsidP="000B3B88">
      <w:pPr>
        <w:outlineLvl w:val="0"/>
        <w:rPr>
          <w:bCs/>
        </w:rPr>
      </w:pPr>
      <w:bookmarkStart w:id="0" w:name="_GoBack"/>
      <w:bookmarkEnd w:id="0"/>
      <w:r w:rsidRPr="000B3B88">
        <w:rPr>
          <w:bCs/>
        </w:rPr>
        <w:t>Section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454.10</w:t>
      </w:r>
      <w:r w:rsidRPr="000B3B88">
        <w:rPr>
          <w:bCs/>
        </w:rPr>
        <w:tab/>
        <w:t>Purpose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454.20</w:t>
      </w:r>
      <w:r w:rsidRPr="000B3B88">
        <w:rPr>
          <w:bCs/>
        </w:rPr>
        <w:tab/>
        <w:t>Definitions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454.30</w:t>
      </w:r>
      <w:r w:rsidRPr="000B3B88">
        <w:rPr>
          <w:bCs/>
        </w:rPr>
        <w:tab/>
        <w:t>Applicability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454.40</w:t>
      </w:r>
      <w:r w:rsidRPr="000B3B88">
        <w:rPr>
          <w:bCs/>
        </w:rPr>
        <w:tab/>
        <w:t>Required Application Filings and Procedures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454.50</w:t>
      </w:r>
      <w:r w:rsidRPr="000B3B88">
        <w:rPr>
          <w:bCs/>
        </w:rPr>
        <w:tab/>
        <w:t>General Licensing Requirements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454.60</w:t>
      </w:r>
      <w:r w:rsidRPr="000B3B88">
        <w:rPr>
          <w:bCs/>
        </w:rPr>
        <w:tab/>
        <w:t>Managerial Licensing Requirements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454.70</w:t>
      </w:r>
      <w:r w:rsidRPr="000B3B88">
        <w:rPr>
          <w:bCs/>
        </w:rPr>
        <w:tab/>
        <w:t>Technical Licensing Requirements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454.80</w:t>
      </w:r>
      <w:r w:rsidRPr="000B3B88">
        <w:rPr>
          <w:bCs/>
        </w:rPr>
        <w:tab/>
        <w:t>Financial Licensing Requirements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454.90</w:t>
      </w:r>
      <w:r w:rsidRPr="000B3B88">
        <w:rPr>
          <w:bCs/>
        </w:rPr>
        <w:tab/>
        <w:t>Code of Conduct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454.100</w:t>
      </w:r>
      <w:r w:rsidRPr="000B3B88">
        <w:rPr>
          <w:bCs/>
        </w:rPr>
        <w:tab/>
        <w:t>Customer Records and Information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454.110</w:t>
      </w:r>
      <w:r w:rsidRPr="000B3B88">
        <w:rPr>
          <w:bCs/>
        </w:rPr>
        <w:tab/>
        <w:t>Reporting Requirements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454.120</w:t>
      </w:r>
      <w:r w:rsidRPr="000B3B88">
        <w:rPr>
          <w:bCs/>
        </w:rPr>
        <w:tab/>
        <w:t>Erroneous or Defective Reports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454.130</w:t>
      </w:r>
      <w:r w:rsidRPr="000B3B88">
        <w:rPr>
          <w:bCs/>
        </w:rPr>
        <w:tab/>
        <w:t>Complaint Procedures</w:t>
      </w:r>
    </w:p>
    <w:p w:rsidR="000B3B88" w:rsidRPr="000B3B88" w:rsidRDefault="000B3B88" w:rsidP="000B3B88">
      <w:pPr>
        <w:ind w:left="1440" w:hanging="1440"/>
        <w:rPr>
          <w:bCs/>
        </w:rPr>
      </w:pPr>
      <w:r w:rsidRPr="000B3B88">
        <w:rPr>
          <w:bCs/>
        </w:rPr>
        <w:t>454.140</w:t>
      </w:r>
      <w:r w:rsidRPr="000B3B88">
        <w:rPr>
          <w:bCs/>
        </w:rPr>
        <w:tab/>
        <w:t>Commission Oversight</w:t>
      </w:r>
    </w:p>
    <w:sectPr w:rsidR="000B3B88" w:rsidRPr="000B3B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84" w:rsidRDefault="007D6E84">
      <w:r>
        <w:separator/>
      </w:r>
    </w:p>
  </w:endnote>
  <w:endnote w:type="continuationSeparator" w:id="0">
    <w:p w:rsidR="007D6E84" w:rsidRDefault="007D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84" w:rsidRDefault="007D6E84">
      <w:r>
        <w:separator/>
      </w:r>
    </w:p>
  </w:footnote>
  <w:footnote w:type="continuationSeparator" w:id="0">
    <w:p w:rsidR="007D6E84" w:rsidRDefault="007D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B8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3B88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2C35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4EE4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D6E84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72A4C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17F7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