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F8" w:rsidRDefault="004C7FF8" w:rsidP="004C7F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7FF8" w:rsidRDefault="004C7FF8" w:rsidP="004C7F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451.440  Commission Order in Proceedings under Subpart E</w:t>
      </w:r>
      <w:r>
        <w:t xml:space="preserve"> </w:t>
      </w:r>
    </w:p>
    <w:p w:rsidR="004C7FF8" w:rsidRDefault="004C7FF8" w:rsidP="004C7FF8">
      <w:pPr>
        <w:widowControl w:val="0"/>
        <w:autoSpaceDE w:val="0"/>
        <w:autoSpaceDN w:val="0"/>
        <w:adjustRightInd w:val="0"/>
      </w:pPr>
    </w:p>
    <w:p w:rsidR="004C7FF8" w:rsidRDefault="004C7FF8" w:rsidP="004C7FF8">
      <w:pPr>
        <w:widowControl w:val="0"/>
        <w:autoSpaceDE w:val="0"/>
        <w:autoSpaceDN w:val="0"/>
        <w:adjustRightInd w:val="0"/>
      </w:pPr>
      <w:r>
        <w:t xml:space="preserve">The Commission shall issue an order granting or denying an application filed under this Subpart E within 45 days after the date on which a complete application has been properly filed with the Commission and notice of the application's filing is published in the Official State Newspaper as provided by the Notice by Publication Act [715 </w:t>
      </w:r>
      <w:proofErr w:type="spellStart"/>
      <w:r>
        <w:t>ILCS</w:t>
      </w:r>
      <w:proofErr w:type="spellEnd"/>
      <w:r>
        <w:t xml:space="preserve"> 5]. </w:t>
      </w:r>
    </w:p>
    <w:p w:rsidR="004C7FF8" w:rsidRDefault="004C7FF8" w:rsidP="004C7FF8">
      <w:pPr>
        <w:widowControl w:val="0"/>
        <w:autoSpaceDE w:val="0"/>
        <w:autoSpaceDN w:val="0"/>
        <w:adjustRightInd w:val="0"/>
      </w:pPr>
    </w:p>
    <w:p w:rsidR="004C7FF8" w:rsidRDefault="004C7FF8" w:rsidP="004C7FF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15971, effective October 15, 2000) </w:t>
      </w:r>
    </w:p>
    <w:sectPr w:rsidR="004C7FF8" w:rsidSect="004C7F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7FF8"/>
    <w:rsid w:val="004C7FF8"/>
    <w:rsid w:val="00556E2B"/>
    <w:rsid w:val="005C3366"/>
    <w:rsid w:val="007B782A"/>
    <w:rsid w:val="00BD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