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54B" w:rsidRDefault="00C3154B" w:rsidP="00C3154B">
      <w:pPr>
        <w:widowControl w:val="0"/>
        <w:autoSpaceDE w:val="0"/>
        <w:autoSpaceDN w:val="0"/>
        <w:adjustRightInd w:val="0"/>
      </w:pPr>
      <w:bookmarkStart w:id="0" w:name="_GoBack"/>
      <w:bookmarkEnd w:id="0"/>
    </w:p>
    <w:p w:rsidR="00C3154B" w:rsidRDefault="00C3154B" w:rsidP="00C3154B">
      <w:pPr>
        <w:widowControl w:val="0"/>
        <w:autoSpaceDE w:val="0"/>
        <w:autoSpaceDN w:val="0"/>
        <w:adjustRightInd w:val="0"/>
      </w:pPr>
      <w:r>
        <w:rPr>
          <w:b/>
          <w:bCs/>
        </w:rPr>
        <w:t>Section 451.200  Applicability of Subpart C</w:t>
      </w:r>
      <w:r>
        <w:t xml:space="preserve"> </w:t>
      </w:r>
    </w:p>
    <w:p w:rsidR="00610896" w:rsidRPr="00610896" w:rsidRDefault="00610896" w:rsidP="00C3154B">
      <w:pPr>
        <w:widowControl w:val="0"/>
        <w:autoSpaceDE w:val="0"/>
        <w:autoSpaceDN w:val="0"/>
        <w:adjustRightInd w:val="0"/>
      </w:pPr>
    </w:p>
    <w:p w:rsidR="00C3154B" w:rsidRDefault="00C3154B" w:rsidP="00C3154B">
      <w:pPr>
        <w:widowControl w:val="0"/>
        <w:autoSpaceDE w:val="0"/>
        <w:autoSpaceDN w:val="0"/>
        <w:adjustRightInd w:val="0"/>
      </w:pPr>
      <w:r>
        <w:t xml:space="preserve">This Subpart shall apply to the certification of all alternative retail electric suppliers that seek to serve nonresidential retail customers with annual electrical consumption greater than 15,000 kWh.  The requirements in this Subpart are in addition to the requirements of Subpart A.  Sections 451.220 through </w:t>
      </w:r>
      <w:r w:rsidR="00610896">
        <w:t>451.260</w:t>
      </w:r>
      <w:r>
        <w:t xml:space="preserve"> do not apply to electric cooperatives or municipal systems making an election under Section 17-300 of the Act to become an alternative retail electric supplier. </w:t>
      </w:r>
    </w:p>
    <w:p w:rsidR="00C3154B" w:rsidRDefault="00C3154B" w:rsidP="00C3154B">
      <w:pPr>
        <w:widowControl w:val="0"/>
        <w:autoSpaceDE w:val="0"/>
        <w:autoSpaceDN w:val="0"/>
        <w:adjustRightInd w:val="0"/>
      </w:pPr>
    </w:p>
    <w:p w:rsidR="00365EFE" w:rsidRPr="00D55B37" w:rsidRDefault="00365EFE">
      <w:pPr>
        <w:pStyle w:val="JCARSourceNote"/>
        <w:ind w:left="720"/>
      </w:pPr>
      <w:r w:rsidRPr="00D55B37">
        <w:t xml:space="preserve">(Source:  </w:t>
      </w:r>
      <w:r>
        <w:t>Amended</w:t>
      </w:r>
      <w:r w:rsidRPr="00D55B37">
        <w:t xml:space="preserve"> at </w:t>
      </w:r>
      <w:r>
        <w:t>34 I</w:t>
      </w:r>
      <w:r w:rsidRPr="00D55B37">
        <w:t xml:space="preserve">ll. Reg. </w:t>
      </w:r>
      <w:r w:rsidR="004320B0">
        <w:t>15283</w:t>
      </w:r>
      <w:r w:rsidRPr="00D55B37">
        <w:t xml:space="preserve">, effective </w:t>
      </w:r>
      <w:r w:rsidR="004320B0">
        <w:t>September 25, 2010</w:t>
      </w:r>
      <w:r w:rsidRPr="00D55B37">
        <w:t>)</w:t>
      </w:r>
    </w:p>
    <w:sectPr w:rsidR="00365EFE" w:rsidRPr="00D55B37" w:rsidSect="00C315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154B"/>
    <w:rsid w:val="000C23E1"/>
    <w:rsid w:val="00163867"/>
    <w:rsid w:val="00365EFE"/>
    <w:rsid w:val="004320B0"/>
    <w:rsid w:val="005C3366"/>
    <w:rsid w:val="00610896"/>
    <w:rsid w:val="006A27F4"/>
    <w:rsid w:val="008C33DE"/>
    <w:rsid w:val="00C26B93"/>
    <w:rsid w:val="00C3154B"/>
    <w:rsid w:val="00C3224F"/>
    <w:rsid w:val="00E0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08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