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B8E" w:rsidRDefault="00450B8E" w:rsidP="00450B8E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50B8E" w:rsidRDefault="00450B8E" w:rsidP="00450B8E">
      <w:pPr>
        <w:widowControl w:val="0"/>
        <w:autoSpaceDE w:val="0"/>
        <w:autoSpaceDN w:val="0"/>
        <w:adjustRightInd w:val="0"/>
      </w:pPr>
      <w:r>
        <w:rPr>
          <w:b/>
          <w:bCs/>
        </w:rPr>
        <w:t>Section 430.100  Remedy</w:t>
      </w:r>
      <w:r>
        <w:t xml:space="preserve"> </w:t>
      </w:r>
    </w:p>
    <w:p w:rsidR="00450B8E" w:rsidRDefault="00450B8E" w:rsidP="00450B8E">
      <w:pPr>
        <w:widowControl w:val="0"/>
        <w:autoSpaceDE w:val="0"/>
        <w:autoSpaceDN w:val="0"/>
        <w:adjustRightInd w:val="0"/>
      </w:pPr>
    </w:p>
    <w:p w:rsidR="00450B8E" w:rsidRDefault="00450B8E" w:rsidP="00450B8E">
      <w:pPr>
        <w:widowControl w:val="0"/>
        <w:autoSpaceDE w:val="0"/>
        <w:autoSpaceDN w:val="0"/>
        <w:adjustRightInd w:val="0"/>
      </w:pPr>
      <w:r>
        <w:t xml:space="preserve">In the event of an impasse in negotiations between the utility and the qualifying facility, either party may request a determination of the issues by the Commission.  This determination may be requested either formally or informally.  If either party requests a formal determination with the Commission, said party shall file a petition with the Commission naming the other party as a respondent.  Any petition filed pursuant to this Section shall comply with the Rules of Practice of the Illinois Commerce Commission (83 Ill. Adm. Code 200). </w:t>
      </w:r>
    </w:p>
    <w:sectPr w:rsidR="00450B8E" w:rsidSect="00450B8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50B8E"/>
    <w:rsid w:val="00450B8E"/>
    <w:rsid w:val="005471AC"/>
    <w:rsid w:val="005C3366"/>
    <w:rsid w:val="00784191"/>
    <w:rsid w:val="0082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430</vt:lpstr>
    </vt:vector>
  </TitlesOfParts>
  <Company>State of Illinois</Company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430</dc:title>
  <dc:subject/>
  <dc:creator>Illinois General Assembly</dc:creator>
  <cp:keywords/>
  <dc:description/>
  <cp:lastModifiedBy>Roberts, John</cp:lastModifiedBy>
  <cp:revision>3</cp:revision>
  <dcterms:created xsi:type="dcterms:W3CDTF">2012-06-21T19:10:00Z</dcterms:created>
  <dcterms:modified xsi:type="dcterms:W3CDTF">2012-06-21T19:10:00Z</dcterms:modified>
</cp:coreProperties>
</file>