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83" w:rsidRDefault="004F6483" w:rsidP="004F6483">
      <w:pPr>
        <w:widowControl w:val="0"/>
        <w:autoSpaceDE w:val="0"/>
        <w:autoSpaceDN w:val="0"/>
        <w:adjustRightInd w:val="0"/>
      </w:pPr>
      <w:bookmarkStart w:id="0" w:name="_GoBack"/>
      <w:bookmarkEnd w:id="0"/>
    </w:p>
    <w:p w:rsidR="004F6483" w:rsidRDefault="004F6483" w:rsidP="004F6483">
      <w:pPr>
        <w:widowControl w:val="0"/>
        <w:autoSpaceDE w:val="0"/>
        <w:autoSpaceDN w:val="0"/>
        <w:adjustRightInd w:val="0"/>
      </w:pPr>
      <w:r>
        <w:rPr>
          <w:b/>
          <w:bCs/>
        </w:rPr>
        <w:t>Section 411.130  Interruption Cause Categories</w:t>
      </w:r>
      <w:r>
        <w:t xml:space="preserve"> </w:t>
      </w:r>
    </w:p>
    <w:p w:rsidR="004F6483" w:rsidRDefault="004F6483" w:rsidP="004F6483">
      <w:pPr>
        <w:widowControl w:val="0"/>
        <w:autoSpaceDE w:val="0"/>
        <w:autoSpaceDN w:val="0"/>
        <w:adjustRightInd w:val="0"/>
      </w:pPr>
    </w:p>
    <w:p w:rsidR="004F6483" w:rsidRDefault="004F6483" w:rsidP="004F6483">
      <w:pPr>
        <w:widowControl w:val="0"/>
        <w:autoSpaceDE w:val="0"/>
        <w:autoSpaceDN w:val="0"/>
        <w:adjustRightInd w:val="0"/>
      </w:pPr>
      <w:r>
        <w:t xml:space="preserve">In adhering to the interruption record-keeping and reporting requirements set forth in this Part, each jurisdictional entity shall classify and report on the cause of each interruption using the cause categories and interruption code descriptions given in Table A of this Part. </w:t>
      </w:r>
    </w:p>
    <w:sectPr w:rsidR="004F6483" w:rsidSect="004F64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483"/>
    <w:rsid w:val="004F6483"/>
    <w:rsid w:val="005C3366"/>
    <w:rsid w:val="00710C9D"/>
    <w:rsid w:val="008D4987"/>
    <w:rsid w:val="00CC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