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7D" w:rsidRDefault="003B347D" w:rsidP="003B34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347D" w:rsidRDefault="003B347D" w:rsidP="003B34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410.100  Application of Subpart B</w:t>
      </w:r>
      <w:r>
        <w:t xml:space="preserve"> </w:t>
      </w:r>
    </w:p>
    <w:p w:rsidR="003B347D" w:rsidRDefault="003B347D" w:rsidP="003B347D">
      <w:pPr>
        <w:widowControl w:val="0"/>
        <w:autoSpaceDE w:val="0"/>
        <w:autoSpaceDN w:val="0"/>
        <w:adjustRightInd w:val="0"/>
      </w:pPr>
    </w:p>
    <w:p w:rsidR="003B347D" w:rsidRDefault="003B347D" w:rsidP="003B347D">
      <w:pPr>
        <w:widowControl w:val="0"/>
        <w:autoSpaceDE w:val="0"/>
        <w:autoSpaceDN w:val="0"/>
        <w:adjustRightInd w:val="0"/>
      </w:pPr>
      <w:r>
        <w:t xml:space="preserve">This Subpart applies to all entities that are providing metering service.  Each entity shall be responsible for ensuring that its meters and metering service comply with these requirements. </w:t>
      </w:r>
    </w:p>
    <w:sectPr w:rsidR="003B347D" w:rsidSect="003B3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47D"/>
    <w:rsid w:val="003B347D"/>
    <w:rsid w:val="005C3366"/>
    <w:rsid w:val="006148CC"/>
    <w:rsid w:val="006D0156"/>
    <w:rsid w:val="00ED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