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2E" w:rsidRDefault="00363F2E" w:rsidP="00363F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F2E" w:rsidRDefault="00363F2E" w:rsidP="00363F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315.60  Indemnification</w:t>
      </w:r>
      <w:r>
        <w:t xml:space="preserve"> </w:t>
      </w:r>
    </w:p>
    <w:p w:rsidR="00363F2E" w:rsidRDefault="00363F2E" w:rsidP="00363F2E">
      <w:pPr>
        <w:widowControl w:val="0"/>
        <w:autoSpaceDE w:val="0"/>
        <w:autoSpaceDN w:val="0"/>
        <w:adjustRightInd w:val="0"/>
      </w:pPr>
    </w:p>
    <w:p w:rsidR="00363F2E" w:rsidRDefault="00363F2E" w:rsidP="00363F2E">
      <w:pPr>
        <w:widowControl w:val="0"/>
        <w:autoSpaceDE w:val="0"/>
        <w:autoSpaceDN w:val="0"/>
        <w:adjustRightInd w:val="0"/>
      </w:pPr>
      <w:proofErr w:type="spellStart"/>
      <w:r>
        <w:t>CATV</w:t>
      </w:r>
      <w:proofErr w:type="spellEnd"/>
      <w:r>
        <w:t xml:space="preserve"> operators cannot be required in any pole attachment agreements to indemnify the electric utilities or telecommunications carriers from the negligence of electric utilities or telecommunications carriers. </w:t>
      </w:r>
    </w:p>
    <w:p w:rsidR="00363F2E" w:rsidRDefault="00363F2E" w:rsidP="00363F2E">
      <w:pPr>
        <w:widowControl w:val="0"/>
        <w:autoSpaceDE w:val="0"/>
        <w:autoSpaceDN w:val="0"/>
        <w:adjustRightInd w:val="0"/>
      </w:pPr>
    </w:p>
    <w:p w:rsidR="00363F2E" w:rsidRDefault="00363F2E" w:rsidP="00363F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676, effective February 1, 1994) </w:t>
      </w:r>
    </w:p>
    <w:sectPr w:rsidR="00363F2E" w:rsidSect="00363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F2E"/>
    <w:rsid w:val="00363F2E"/>
    <w:rsid w:val="005C3366"/>
    <w:rsid w:val="0091716D"/>
    <w:rsid w:val="00D73721"/>
    <w:rsid w:val="00E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