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1CD9" w14:textId="77777777" w:rsidR="00FC338B" w:rsidRDefault="00FC338B" w:rsidP="00DA7F04">
      <w:pPr>
        <w:rPr>
          <w:rFonts w:eastAsia="Calibri"/>
          <w:b/>
          <w:bCs/>
        </w:rPr>
      </w:pPr>
    </w:p>
    <w:p w14:paraId="0B3856D3" w14:textId="77777777" w:rsidR="00DA7F04" w:rsidRPr="00DA7F04" w:rsidRDefault="00DA7F04" w:rsidP="00DA7F04">
      <w:pPr>
        <w:rPr>
          <w:rFonts w:eastAsia="Calibri"/>
          <w:b/>
          <w:bCs/>
        </w:rPr>
      </w:pPr>
      <w:r w:rsidRPr="00DA7F04">
        <w:rPr>
          <w:rFonts w:eastAsia="Calibri"/>
          <w:b/>
          <w:bCs/>
        </w:rPr>
        <w:t>Section 288.280  Mandatory Contributions from Utilities to Consumer Intervenor Compensation Fund</w:t>
      </w:r>
    </w:p>
    <w:p w14:paraId="0B6793A7" w14:textId="77777777" w:rsidR="00DA7F04" w:rsidRPr="00DA7F04" w:rsidRDefault="00DA7F04" w:rsidP="00DA7F04">
      <w:pPr>
        <w:rPr>
          <w:rFonts w:eastAsia="Calibri"/>
          <w:b/>
          <w:bCs/>
        </w:rPr>
      </w:pPr>
    </w:p>
    <w:p w14:paraId="1F982D96" w14:textId="47A389EA" w:rsidR="00DA7F04" w:rsidRPr="00DA7F04" w:rsidRDefault="00DA7F04" w:rsidP="00DA7F04">
      <w:pPr>
        <w:ind w:left="1440" w:hanging="720"/>
        <w:rPr>
          <w:rFonts w:eastAsia="Calibri"/>
        </w:rPr>
      </w:pPr>
      <w:r w:rsidRPr="00DA7F04">
        <w:rPr>
          <w:rFonts w:eastAsia="Calibri"/>
        </w:rPr>
        <w:t>a)</w:t>
      </w:r>
      <w:r>
        <w:rPr>
          <w:rFonts w:eastAsia="Calibri"/>
        </w:rPr>
        <w:tab/>
      </w:r>
      <w:r w:rsidRPr="00DA7F04">
        <w:rPr>
          <w:rFonts w:eastAsia="Calibri"/>
        </w:rPr>
        <w:t xml:space="preserve">Each utility that files a request for an increase in base rates pursuant to Section 9-201 </w:t>
      </w:r>
      <w:r w:rsidR="00AA3D88">
        <w:rPr>
          <w:rFonts w:eastAsia="Calibri"/>
        </w:rPr>
        <w:t xml:space="preserve">of the Act </w:t>
      </w:r>
      <w:r w:rsidRPr="00DA7F04">
        <w:rPr>
          <w:rFonts w:eastAsia="Calibri"/>
        </w:rPr>
        <w:t xml:space="preserve">or a multi-year rate plan pursuant to Section 16-108.18(d) of the Act and seeks to recover rate case expenses pursuant to this Part shall deposit </w:t>
      </w:r>
      <w:r w:rsidR="00666453">
        <w:rPr>
          <w:rFonts w:eastAsia="Calibri"/>
        </w:rPr>
        <w:t xml:space="preserve">the lesser of $500,000 or half the rate case attorney and expert expense allowed by the Commission </w:t>
      </w:r>
      <w:r w:rsidRPr="00DA7F04">
        <w:rPr>
          <w:rFonts w:eastAsia="Calibri"/>
        </w:rPr>
        <w:t xml:space="preserve">into the Fund.  The contribution shall be made within 35 days </w:t>
      </w:r>
      <w:r w:rsidR="00666453">
        <w:rPr>
          <w:rFonts w:eastAsia="Calibri"/>
        </w:rPr>
        <w:t>after</w:t>
      </w:r>
      <w:r w:rsidRPr="00DA7F04">
        <w:rPr>
          <w:rFonts w:eastAsia="Calibri"/>
        </w:rPr>
        <w:t xml:space="preserve"> the date of the Commission's Final Order in the rate case or 20 days after the denial of rehearing under Section 10-113 of the Act, whichever is later.</w:t>
      </w:r>
      <w:r w:rsidR="00AA3D88">
        <w:rPr>
          <w:rFonts w:eastAsia="Calibri"/>
        </w:rPr>
        <w:t xml:space="preserve">  (See Section 9-229(b)(4) of the Act.)</w:t>
      </w:r>
    </w:p>
    <w:p w14:paraId="2C1984A6" w14:textId="77777777" w:rsidR="00DA7F04" w:rsidRPr="00DA7F04" w:rsidRDefault="00DA7F04" w:rsidP="00315865">
      <w:pPr>
        <w:contextualSpacing/>
        <w:rPr>
          <w:rFonts w:eastAsia="Calibri"/>
        </w:rPr>
      </w:pPr>
    </w:p>
    <w:p w14:paraId="6A028DC6" w14:textId="5562BE55" w:rsidR="00DA7F04" w:rsidRPr="00DA7F04" w:rsidRDefault="00DA7F04" w:rsidP="00DA7F04">
      <w:pPr>
        <w:ind w:left="1440" w:hanging="720"/>
        <w:rPr>
          <w:rFonts w:eastAsia="Calibri"/>
        </w:rPr>
      </w:pPr>
      <w:r w:rsidRPr="00DA7F04">
        <w:rPr>
          <w:rFonts w:eastAsia="Calibri"/>
        </w:rPr>
        <w:t>b)</w:t>
      </w:r>
      <w:r>
        <w:rPr>
          <w:rFonts w:eastAsia="Calibri"/>
        </w:rPr>
        <w:tab/>
      </w:r>
      <w:r w:rsidRPr="00DA7F04">
        <w:rPr>
          <w:rFonts w:eastAsia="Calibri"/>
        </w:rPr>
        <w:t>Utility contributions to the Fund shall be recoverable expenses.</w:t>
      </w:r>
    </w:p>
    <w:p w14:paraId="7F05CAFA" w14:textId="77777777" w:rsidR="00DA7F04" w:rsidRPr="00DA7F04" w:rsidRDefault="00DA7F04" w:rsidP="00DA7F04">
      <w:pPr>
        <w:rPr>
          <w:rFonts w:eastAsia="Calibri"/>
        </w:rPr>
      </w:pPr>
    </w:p>
    <w:p w14:paraId="1C48E829" w14:textId="359B8EEF" w:rsidR="000174EB" w:rsidRPr="00093935" w:rsidRDefault="00DA7F04" w:rsidP="003A373B">
      <w:pPr>
        <w:ind w:left="720"/>
      </w:pPr>
      <w:r w:rsidRPr="00DA7F04">
        <w:rPr>
          <w:rFonts w:eastAsia="Calibri"/>
        </w:rPr>
        <w:t>(Source:  Added at 4</w:t>
      </w:r>
      <w:r w:rsidR="00666453">
        <w:rPr>
          <w:rFonts w:eastAsia="Calibri"/>
        </w:rPr>
        <w:t>7</w:t>
      </w:r>
      <w:r w:rsidRPr="00DA7F04">
        <w:rPr>
          <w:rFonts w:eastAsia="Calibri"/>
        </w:rPr>
        <w:t xml:space="preserve"> Ill. Reg. </w:t>
      </w:r>
      <w:r w:rsidR="00315865">
        <w:rPr>
          <w:rFonts w:eastAsia="Calibri"/>
        </w:rPr>
        <w:t>5619</w:t>
      </w:r>
      <w:r w:rsidRPr="00DA7F04">
        <w:rPr>
          <w:rFonts w:eastAsia="Calibri"/>
        </w:rPr>
        <w:t xml:space="preserve">, effective </w:t>
      </w:r>
      <w:r w:rsidR="00315865">
        <w:rPr>
          <w:rFonts w:eastAsia="Calibri"/>
        </w:rPr>
        <w:t>April 7, 2023</w:t>
      </w:r>
      <w:r w:rsidRPr="00DA7F04">
        <w:rPr>
          <w:rFonts w:eastAsia="Calibri"/>
        </w:rP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A2E" w14:textId="77777777" w:rsidR="009F2771" w:rsidRDefault="009F2771">
      <w:r>
        <w:separator/>
      </w:r>
    </w:p>
  </w:endnote>
  <w:endnote w:type="continuationSeparator" w:id="0">
    <w:p w14:paraId="31E5BB2C" w14:textId="77777777" w:rsidR="009F2771" w:rsidRDefault="009F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32CE" w14:textId="77777777" w:rsidR="009F2771" w:rsidRDefault="009F2771">
      <w:r>
        <w:separator/>
      </w:r>
    </w:p>
  </w:footnote>
  <w:footnote w:type="continuationSeparator" w:id="0">
    <w:p w14:paraId="7D95DB90" w14:textId="77777777" w:rsidR="009F2771" w:rsidRDefault="009F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E8E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120"/>
    <w:rsid w:val="00311C50"/>
    <w:rsid w:val="00314233"/>
    <w:rsid w:val="0031586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73B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88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453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038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771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D88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FDD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F0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38B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10987"/>
  <w15:chartTrackingRefBased/>
  <w15:docId w15:val="{2198F77B-A775-44C2-8382-BBC27AC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700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6</cp:revision>
  <dcterms:created xsi:type="dcterms:W3CDTF">2023-03-20T20:48:00Z</dcterms:created>
  <dcterms:modified xsi:type="dcterms:W3CDTF">2023-04-21T14:00:00Z</dcterms:modified>
</cp:coreProperties>
</file>