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E29EA" w14:textId="77777777" w:rsidR="00F40B8F" w:rsidRDefault="00F40B8F" w:rsidP="00F40B8F">
      <w:pPr>
        <w:ind w:left="1440" w:hanging="1440"/>
        <w:jc w:val="center"/>
        <w:rPr>
          <w:rFonts w:eastAsia="Calibri"/>
          <w:bCs/>
        </w:rPr>
      </w:pPr>
    </w:p>
    <w:p w14:paraId="486AD039" w14:textId="77777777" w:rsidR="000174EB" w:rsidRPr="00F40B8F" w:rsidRDefault="00F40B8F" w:rsidP="00F40B8F">
      <w:pPr>
        <w:ind w:left="1440" w:hanging="1440"/>
        <w:jc w:val="center"/>
        <w:rPr>
          <w:rFonts w:eastAsia="Calibri"/>
          <w:bCs/>
        </w:rPr>
      </w:pPr>
      <w:r w:rsidRPr="00966474">
        <w:rPr>
          <w:rFonts w:eastAsia="Calibri"/>
          <w:bCs/>
        </w:rPr>
        <w:t>SUBPART B:  RATE CASE EXPENSE</w:t>
      </w:r>
    </w:p>
    <w:sectPr w:rsidR="000174EB" w:rsidRPr="00F40B8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F0B6F" w14:textId="77777777" w:rsidR="00D81562" w:rsidRDefault="00D81562">
      <w:r>
        <w:separator/>
      </w:r>
    </w:p>
  </w:endnote>
  <w:endnote w:type="continuationSeparator" w:id="0">
    <w:p w14:paraId="65A591D2" w14:textId="77777777" w:rsidR="00D81562" w:rsidRDefault="00D81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2E8DB" w14:textId="77777777" w:rsidR="00D81562" w:rsidRDefault="00D81562">
      <w:r>
        <w:separator/>
      </w:r>
    </w:p>
  </w:footnote>
  <w:footnote w:type="continuationSeparator" w:id="0">
    <w:p w14:paraId="3EFD63DA" w14:textId="77777777" w:rsidR="00D81562" w:rsidRDefault="00D81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6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1CC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1562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0B8F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903F4E"/>
  <w15:chartTrackingRefBased/>
  <w15:docId w15:val="{A5600651-A533-437B-958A-3294213F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0B8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Bockewitz, Crystal K.</cp:lastModifiedBy>
  <cp:revision>2</cp:revision>
  <dcterms:created xsi:type="dcterms:W3CDTF">2023-03-20T20:48:00Z</dcterms:created>
  <dcterms:modified xsi:type="dcterms:W3CDTF">2023-03-20T20:48:00Z</dcterms:modified>
</cp:coreProperties>
</file>