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1EEB5" w14:textId="77777777" w:rsidR="00797184" w:rsidRDefault="00797184" w:rsidP="00D7791D"/>
    <w:p w14:paraId="586F5D9C" w14:textId="77777777" w:rsidR="004F6438" w:rsidRPr="00D7791D" w:rsidRDefault="004F6438" w:rsidP="00D7791D">
      <w:pPr>
        <w:rPr>
          <w:b/>
        </w:rPr>
      </w:pPr>
      <w:r w:rsidRPr="00D7791D">
        <w:rPr>
          <w:b/>
        </w:rPr>
        <w:t>Section 285.305  General Information Requirements Applicable for All Utilities Subject to this Part</w:t>
      </w:r>
    </w:p>
    <w:p w14:paraId="43670AEE" w14:textId="77777777" w:rsidR="004F6438" w:rsidRPr="004F6438" w:rsidRDefault="004F6438" w:rsidP="00D7791D">
      <w:pPr>
        <w:rPr>
          <w:spacing w:val="-3"/>
        </w:rPr>
      </w:pPr>
    </w:p>
    <w:p w14:paraId="631B1D75" w14:textId="77777777" w:rsidR="004F6438" w:rsidRDefault="004F6438" w:rsidP="00D7791D">
      <w:r w:rsidRPr="004F6438">
        <w:t>The information listed in this Section is required from all utilities subject to this Part.</w:t>
      </w:r>
    </w:p>
    <w:p w14:paraId="2245F8E8" w14:textId="77777777" w:rsidR="00E42AB0" w:rsidRPr="004F6438" w:rsidRDefault="00E42AB0" w:rsidP="00D7791D"/>
    <w:p w14:paraId="716AA93B" w14:textId="77777777" w:rsidR="004F6438" w:rsidRPr="004F6438" w:rsidRDefault="004F6438" w:rsidP="00D7791D">
      <w:pPr>
        <w:ind w:firstLine="720"/>
        <w:rPr>
          <w:spacing w:val="-3"/>
        </w:rPr>
      </w:pPr>
      <w:r w:rsidRPr="004F6438">
        <w:rPr>
          <w:spacing w:val="-3"/>
        </w:rPr>
        <w:t>a)</w:t>
      </w:r>
      <w:r w:rsidRPr="004F6438">
        <w:rPr>
          <w:spacing w:val="-3"/>
        </w:rPr>
        <w:tab/>
        <w:t>Company description</w:t>
      </w:r>
      <w:r w:rsidR="00797184">
        <w:rPr>
          <w:spacing w:val="-3"/>
        </w:rPr>
        <w:t>,</w:t>
      </w:r>
      <w:r w:rsidRPr="004F6438">
        <w:rPr>
          <w:spacing w:val="-3"/>
        </w:rPr>
        <w:t xml:space="preserve"> including:</w:t>
      </w:r>
    </w:p>
    <w:p w14:paraId="23EB2B2E" w14:textId="77777777" w:rsidR="00E42AB0" w:rsidRDefault="00E42AB0" w:rsidP="002E4D78">
      <w:pPr>
        <w:rPr>
          <w:spacing w:val="-3"/>
        </w:rPr>
      </w:pPr>
    </w:p>
    <w:p w14:paraId="0FE4492C" w14:textId="77777777" w:rsidR="004F6438" w:rsidRPr="004F6438" w:rsidRDefault="004F6438" w:rsidP="00D7791D">
      <w:pPr>
        <w:ind w:left="2160" w:hanging="720"/>
        <w:rPr>
          <w:spacing w:val="-3"/>
        </w:rPr>
      </w:pPr>
      <w:r w:rsidRPr="004F6438">
        <w:rPr>
          <w:spacing w:val="-3"/>
        </w:rPr>
        <w:t>1)</w:t>
      </w:r>
      <w:r w:rsidRPr="004F6438">
        <w:rPr>
          <w:spacing w:val="-3"/>
        </w:rPr>
        <w:tab/>
        <w:t>A corporate history including dates of incorporation and subsequent acquisitions and mergers;</w:t>
      </w:r>
    </w:p>
    <w:p w14:paraId="43D7DF12" w14:textId="77777777" w:rsidR="00E42AB0" w:rsidRDefault="00E42AB0" w:rsidP="002E4D78">
      <w:pPr>
        <w:rPr>
          <w:spacing w:val="-3"/>
        </w:rPr>
      </w:pPr>
    </w:p>
    <w:p w14:paraId="4B959752" w14:textId="77777777" w:rsidR="004F6438" w:rsidRPr="004F6438" w:rsidRDefault="004F6438" w:rsidP="00D7791D">
      <w:pPr>
        <w:ind w:left="720" w:firstLine="720"/>
        <w:rPr>
          <w:spacing w:val="-3"/>
        </w:rPr>
      </w:pPr>
      <w:r w:rsidRPr="004F6438">
        <w:rPr>
          <w:spacing w:val="-3"/>
        </w:rPr>
        <w:t>2)</w:t>
      </w:r>
      <w:r w:rsidRPr="004F6438">
        <w:rPr>
          <w:spacing w:val="-3"/>
        </w:rPr>
        <w:tab/>
        <w:t>An organizational chart depicting inter-company relationships; and</w:t>
      </w:r>
    </w:p>
    <w:p w14:paraId="44DB0034" w14:textId="77777777" w:rsidR="00E42AB0" w:rsidRDefault="00E42AB0" w:rsidP="002E4D78">
      <w:pPr>
        <w:rPr>
          <w:spacing w:val="-3"/>
        </w:rPr>
      </w:pPr>
    </w:p>
    <w:p w14:paraId="20A39572" w14:textId="77777777" w:rsidR="004F6438" w:rsidRPr="004F6438" w:rsidRDefault="004F6438" w:rsidP="00D7791D">
      <w:pPr>
        <w:ind w:left="2160" w:hanging="720"/>
        <w:rPr>
          <w:spacing w:val="-3"/>
        </w:rPr>
      </w:pPr>
      <w:r w:rsidRPr="004F6438">
        <w:rPr>
          <w:spacing w:val="-3"/>
        </w:rPr>
        <w:t>3)</w:t>
      </w:r>
      <w:r w:rsidRPr="004F6438">
        <w:rPr>
          <w:spacing w:val="-3"/>
        </w:rPr>
        <w:tab/>
        <w:t>A system map indicating all cities, counties, and any other government subdivision to which service is provided.</w:t>
      </w:r>
    </w:p>
    <w:p w14:paraId="3EA905FD" w14:textId="77777777" w:rsidR="00E42AB0" w:rsidRDefault="00E42AB0" w:rsidP="002E4D78">
      <w:pPr>
        <w:rPr>
          <w:spacing w:val="-3"/>
        </w:rPr>
      </w:pPr>
    </w:p>
    <w:p w14:paraId="75579100" w14:textId="77777777" w:rsidR="004F6438" w:rsidRPr="004F6438" w:rsidRDefault="004F6438" w:rsidP="00D7791D">
      <w:pPr>
        <w:ind w:left="1440" w:hanging="720"/>
        <w:rPr>
          <w:spacing w:val="-3"/>
        </w:rPr>
      </w:pPr>
      <w:r w:rsidRPr="004F6438">
        <w:rPr>
          <w:spacing w:val="-3"/>
        </w:rPr>
        <w:t>b)</w:t>
      </w:r>
      <w:r w:rsidRPr="004F6438">
        <w:rPr>
          <w:spacing w:val="-3"/>
        </w:rPr>
        <w:tab/>
      </w:r>
      <w:r w:rsidR="001F0679">
        <w:rPr>
          <w:spacing w:val="-3"/>
        </w:rPr>
        <w:t>Docket number for the m</w:t>
      </w:r>
      <w:r w:rsidRPr="004F6438">
        <w:rPr>
          <w:spacing w:val="-3"/>
        </w:rPr>
        <w:t>ost recent rate order from each regulatory entity, other than this Commission, having jurisdiction over the utility, for each type of regulated service offered by the utility.</w:t>
      </w:r>
    </w:p>
    <w:p w14:paraId="3B62A1E4" w14:textId="77777777" w:rsidR="00E42AB0" w:rsidRDefault="00E42AB0" w:rsidP="002E4D78">
      <w:pPr>
        <w:rPr>
          <w:spacing w:val="-3"/>
        </w:rPr>
      </w:pPr>
    </w:p>
    <w:p w14:paraId="51E96917" w14:textId="77777777" w:rsidR="004F6438" w:rsidRPr="004F6438" w:rsidRDefault="004F6438" w:rsidP="00D7791D">
      <w:pPr>
        <w:ind w:left="1440" w:hanging="720"/>
        <w:rPr>
          <w:spacing w:val="-3"/>
        </w:rPr>
      </w:pPr>
      <w:r w:rsidRPr="004F6438">
        <w:rPr>
          <w:spacing w:val="-3"/>
        </w:rPr>
        <w:t>c)</w:t>
      </w:r>
      <w:r w:rsidRPr="004F6438">
        <w:rPr>
          <w:spacing w:val="-3"/>
        </w:rPr>
        <w:tab/>
        <w:t xml:space="preserve">Each monthly managerial report providing financial results of operations for each of the past </w:t>
      </w:r>
      <w:r w:rsidR="00797184">
        <w:rPr>
          <w:spacing w:val="-3"/>
        </w:rPr>
        <w:t>12</w:t>
      </w:r>
      <w:r w:rsidRPr="004F6438">
        <w:rPr>
          <w:spacing w:val="-3"/>
        </w:rPr>
        <w:t xml:space="preserve"> months and each of the eight subsequent months as it becomes available.</w:t>
      </w:r>
    </w:p>
    <w:p w14:paraId="02717937" w14:textId="77777777" w:rsidR="00E42AB0" w:rsidRDefault="00E42AB0" w:rsidP="002E4D78">
      <w:pPr>
        <w:rPr>
          <w:spacing w:val="-3"/>
        </w:rPr>
      </w:pPr>
    </w:p>
    <w:p w14:paraId="5643EEFF" w14:textId="77777777" w:rsidR="004F6438" w:rsidRPr="004F6438" w:rsidRDefault="004F6438" w:rsidP="00D7791D">
      <w:pPr>
        <w:ind w:left="1440" w:hanging="720"/>
        <w:rPr>
          <w:spacing w:val="-3"/>
        </w:rPr>
      </w:pPr>
      <w:r w:rsidRPr="004F6438">
        <w:rPr>
          <w:spacing w:val="-3"/>
        </w:rPr>
        <w:t>d)</w:t>
      </w:r>
      <w:r w:rsidRPr="004F6438">
        <w:rPr>
          <w:spacing w:val="-3"/>
        </w:rPr>
        <w:tab/>
        <w:t>Current corporate chart of accounts and subaccounts, listing Commission account numbers, utility account numbers (if different), and description.</w:t>
      </w:r>
    </w:p>
    <w:p w14:paraId="07349970" w14:textId="77777777" w:rsidR="00E42AB0" w:rsidRDefault="00E42AB0" w:rsidP="002E4D78">
      <w:pPr>
        <w:rPr>
          <w:spacing w:val="-3"/>
        </w:rPr>
      </w:pPr>
    </w:p>
    <w:p w14:paraId="07EF1E48" w14:textId="77777777" w:rsidR="004F6438" w:rsidRPr="004F6438" w:rsidRDefault="004F6438" w:rsidP="00D7791D">
      <w:pPr>
        <w:ind w:left="1440" w:hanging="720"/>
        <w:rPr>
          <w:spacing w:val="-3"/>
        </w:rPr>
      </w:pPr>
      <w:r w:rsidRPr="004F6438">
        <w:rPr>
          <w:spacing w:val="-3"/>
        </w:rPr>
        <w:t>e)</w:t>
      </w:r>
      <w:r w:rsidRPr="004F6438">
        <w:rPr>
          <w:spacing w:val="-3"/>
        </w:rPr>
        <w:tab/>
        <w:t>Summary of the depreciation study supporting the rates used to calculate depreciation expense reflected on Schedule C-1. If no depreciation study exists, provide an explanation of the depreciation rates.</w:t>
      </w:r>
    </w:p>
    <w:p w14:paraId="7B69534B" w14:textId="77777777" w:rsidR="00E42AB0" w:rsidRDefault="00E42AB0" w:rsidP="002E4D78">
      <w:pPr>
        <w:rPr>
          <w:spacing w:val="-3"/>
        </w:rPr>
      </w:pPr>
    </w:p>
    <w:p w14:paraId="12AD6BB8" w14:textId="77777777" w:rsidR="004F6438" w:rsidRPr="004F6438" w:rsidRDefault="004F6438" w:rsidP="00D7791D">
      <w:pPr>
        <w:ind w:left="1440" w:hanging="720"/>
        <w:rPr>
          <w:spacing w:val="-3"/>
        </w:rPr>
      </w:pPr>
      <w:r w:rsidRPr="004F6438">
        <w:rPr>
          <w:spacing w:val="-3"/>
        </w:rPr>
        <w:t>f)</w:t>
      </w:r>
      <w:r w:rsidRPr="004F6438">
        <w:rPr>
          <w:spacing w:val="-3"/>
        </w:rPr>
        <w:tab/>
        <w:t>Each labor contract, union and non-union, to which the utility is currently a party and any labor contract that has been signed but has a future effective date.</w:t>
      </w:r>
    </w:p>
    <w:p w14:paraId="220A34E8" w14:textId="77777777" w:rsidR="00E42AB0" w:rsidRDefault="00E42AB0" w:rsidP="002E4D78">
      <w:pPr>
        <w:rPr>
          <w:spacing w:val="-3"/>
        </w:rPr>
      </w:pPr>
    </w:p>
    <w:p w14:paraId="7C9C718F" w14:textId="77777777" w:rsidR="004F6438" w:rsidRPr="004F6438" w:rsidRDefault="004F6438" w:rsidP="00D7791D">
      <w:pPr>
        <w:ind w:left="1440" w:hanging="720"/>
        <w:rPr>
          <w:spacing w:val="-3"/>
        </w:rPr>
      </w:pPr>
      <w:r w:rsidRPr="004F6438">
        <w:rPr>
          <w:spacing w:val="-3"/>
        </w:rPr>
        <w:t>g)</w:t>
      </w:r>
      <w:r w:rsidRPr="004F6438">
        <w:rPr>
          <w:spacing w:val="-3"/>
        </w:rPr>
        <w:tab/>
        <w:t>Most recent actuarial report supporting post-retirement benefits</w:t>
      </w:r>
      <w:r w:rsidR="00797184">
        <w:rPr>
          <w:spacing w:val="-3"/>
        </w:rPr>
        <w:t>,</w:t>
      </w:r>
      <w:r w:rsidRPr="004F6438">
        <w:rPr>
          <w:spacing w:val="-3"/>
        </w:rPr>
        <w:t xml:space="preserve"> including pensions and post-retirement benefits other than pensions.</w:t>
      </w:r>
    </w:p>
    <w:p w14:paraId="18BD6D84" w14:textId="77777777" w:rsidR="00E42AB0" w:rsidRDefault="00E42AB0" w:rsidP="002E4D78">
      <w:pPr>
        <w:rPr>
          <w:spacing w:val="-3"/>
        </w:rPr>
      </w:pPr>
    </w:p>
    <w:p w14:paraId="361F3074" w14:textId="77777777" w:rsidR="004F6438" w:rsidRPr="004F6438" w:rsidRDefault="004F6438" w:rsidP="00D7791D">
      <w:pPr>
        <w:ind w:left="1440" w:hanging="720"/>
        <w:rPr>
          <w:spacing w:val="-3"/>
        </w:rPr>
      </w:pPr>
      <w:r w:rsidRPr="004F6438">
        <w:rPr>
          <w:spacing w:val="-3"/>
        </w:rPr>
        <w:t>h)</w:t>
      </w:r>
      <w:r w:rsidRPr="004F6438">
        <w:rPr>
          <w:spacing w:val="-3"/>
        </w:rPr>
        <w:tab/>
        <w:t>A list of all private letter rulings received from the Internal Revenue Service since the utility's last rate filing before the Commission.</w:t>
      </w:r>
    </w:p>
    <w:p w14:paraId="6592A143" w14:textId="77777777" w:rsidR="00E42AB0" w:rsidRDefault="00E42AB0" w:rsidP="002E4D78">
      <w:pPr>
        <w:rPr>
          <w:spacing w:val="-3"/>
        </w:rPr>
      </w:pPr>
    </w:p>
    <w:p w14:paraId="45418059" w14:textId="77777777" w:rsidR="004F6438" w:rsidRPr="004F6438" w:rsidRDefault="004F6438" w:rsidP="00D7791D">
      <w:pPr>
        <w:ind w:left="1440" w:hanging="720"/>
        <w:rPr>
          <w:spacing w:val="-3"/>
        </w:rPr>
      </w:pPr>
      <w:proofErr w:type="spellStart"/>
      <w:r w:rsidRPr="004F6438">
        <w:rPr>
          <w:spacing w:val="-3"/>
        </w:rPr>
        <w:t>i</w:t>
      </w:r>
      <w:proofErr w:type="spellEnd"/>
      <w:r w:rsidRPr="004F6438">
        <w:rPr>
          <w:spacing w:val="-3"/>
        </w:rPr>
        <w:t>)</w:t>
      </w:r>
      <w:r w:rsidRPr="004F6438">
        <w:rPr>
          <w:spacing w:val="-3"/>
        </w:rPr>
        <w:tab/>
        <w:t>A list of any reports or studies prepared for the utility by outside professional consultants or analysts during the last three years with a cost the lesser of .1% of the total utility annual revenues or $500,000. The list shall include the report/study date, consultant name, subject of the report/study, cost of the report/study, and accounts charged.</w:t>
      </w:r>
    </w:p>
    <w:p w14:paraId="7CE5BD94" w14:textId="77777777" w:rsidR="00E42AB0" w:rsidRDefault="00E42AB0" w:rsidP="002E4D78">
      <w:pPr>
        <w:rPr>
          <w:spacing w:val="-3"/>
        </w:rPr>
      </w:pPr>
    </w:p>
    <w:p w14:paraId="14A6E283" w14:textId="77777777" w:rsidR="004F6438" w:rsidRPr="004F6438" w:rsidRDefault="004F6438" w:rsidP="00D7791D">
      <w:pPr>
        <w:ind w:left="1440" w:hanging="720"/>
        <w:rPr>
          <w:spacing w:val="-3"/>
        </w:rPr>
      </w:pPr>
      <w:r w:rsidRPr="004F6438">
        <w:rPr>
          <w:spacing w:val="-3"/>
        </w:rPr>
        <w:lastRenderedPageBreak/>
        <w:t>j)</w:t>
      </w:r>
      <w:r w:rsidRPr="004F6438">
        <w:rPr>
          <w:spacing w:val="-3"/>
        </w:rPr>
        <w:tab/>
        <w:t>Most recent presentation to securities analysts by the utility and any parent company. The utility may exclude any portion of that presentation that neither directly nor indirectly relates to the utility and its subsidiaries.</w:t>
      </w:r>
    </w:p>
    <w:p w14:paraId="614C65EC" w14:textId="77777777" w:rsidR="00E42AB0" w:rsidRDefault="00E42AB0" w:rsidP="002E4D78">
      <w:pPr>
        <w:rPr>
          <w:spacing w:val="-3"/>
        </w:rPr>
      </w:pPr>
    </w:p>
    <w:p w14:paraId="4AEF00A0" w14:textId="77777777" w:rsidR="004F6438" w:rsidRPr="004F6438" w:rsidRDefault="004F6438" w:rsidP="00D7791D">
      <w:pPr>
        <w:ind w:left="1440" w:hanging="720"/>
        <w:rPr>
          <w:spacing w:val="-3"/>
        </w:rPr>
      </w:pPr>
      <w:r w:rsidRPr="004F6438">
        <w:rPr>
          <w:spacing w:val="-3"/>
        </w:rPr>
        <w:t>k)</w:t>
      </w:r>
      <w:r w:rsidRPr="004F6438">
        <w:rPr>
          <w:spacing w:val="-3"/>
        </w:rPr>
        <w:tab/>
        <w:t xml:space="preserve">Most recent report </w:t>
      </w:r>
      <w:r w:rsidR="00A61D64">
        <w:rPr>
          <w:spacing w:val="-3"/>
        </w:rPr>
        <w:t>for inve</w:t>
      </w:r>
      <w:r w:rsidR="002A092A">
        <w:rPr>
          <w:spacing w:val="-3"/>
        </w:rPr>
        <w:t>s</w:t>
      </w:r>
      <w:r w:rsidR="00A61D64">
        <w:rPr>
          <w:spacing w:val="-3"/>
        </w:rPr>
        <w:t>tors that presents operating and financial statistics</w:t>
      </w:r>
      <w:r w:rsidRPr="004F6438">
        <w:rPr>
          <w:spacing w:val="-3"/>
        </w:rPr>
        <w:t xml:space="preserve"> of the utility </w:t>
      </w:r>
      <w:r w:rsidR="00A61D64">
        <w:rPr>
          <w:spacing w:val="-3"/>
        </w:rPr>
        <w:t>or</w:t>
      </w:r>
      <w:r w:rsidRPr="004F6438">
        <w:rPr>
          <w:spacing w:val="-3"/>
        </w:rPr>
        <w:t xml:space="preserve"> any parent company</w:t>
      </w:r>
      <w:r w:rsidR="00A61D64">
        <w:rPr>
          <w:spacing w:val="-3"/>
        </w:rPr>
        <w:t xml:space="preserve"> or both and is not elsewhere described in this Section</w:t>
      </w:r>
      <w:r w:rsidRPr="004F6438">
        <w:rPr>
          <w:spacing w:val="-3"/>
        </w:rPr>
        <w:t>.</w:t>
      </w:r>
    </w:p>
    <w:p w14:paraId="4DF7D78F" w14:textId="77777777" w:rsidR="00E42AB0" w:rsidRDefault="00E42AB0" w:rsidP="002E4D78">
      <w:pPr>
        <w:rPr>
          <w:spacing w:val="-3"/>
        </w:rPr>
      </w:pPr>
    </w:p>
    <w:p w14:paraId="38157632" w14:textId="77777777" w:rsidR="004F6438" w:rsidRPr="004F6438" w:rsidRDefault="00A61D64" w:rsidP="00D7791D">
      <w:pPr>
        <w:ind w:left="1440" w:hanging="720"/>
        <w:rPr>
          <w:spacing w:val="-3"/>
        </w:rPr>
      </w:pPr>
      <w:r>
        <w:rPr>
          <w:spacing w:val="-3"/>
        </w:rPr>
        <w:t>l)</w:t>
      </w:r>
      <w:r w:rsidR="004F6438" w:rsidRPr="004F6438">
        <w:rPr>
          <w:spacing w:val="-3"/>
        </w:rPr>
        <w:tab/>
        <w:t>Most recent Securities and Exchange Commission (SEC) Form 10-K of the utility and any parent company</w:t>
      </w:r>
      <w:r>
        <w:rPr>
          <w:spacing w:val="-3"/>
        </w:rPr>
        <w:t xml:space="preserve"> in paper copy</w:t>
      </w:r>
      <w:r w:rsidR="004F6438" w:rsidRPr="004F6438">
        <w:rPr>
          <w:spacing w:val="-3"/>
        </w:rPr>
        <w:t>.</w:t>
      </w:r>
    </w:p>
    <w:p w14:paraId="2A642F90" w14:textId="77777777" w:rsidR="00E42AB0" w:rsidRDefault="00E42AB0" w:rsidP="002E4D78">
      <w:pPr>
        <w:rPr>
          <w:spacing w:val="-3"/>
        </w:rPr>
      </w:pPr>
    </w:p>
    <w:p w14:paraId="60816128" w14:textId="77777777" w:rsidR="004F6438" w:rsidRPr="004F6438" w:rsidRDefault="00A61D64" w:rsidP="00D7791D">
      <w:pPr>
        <w:ind w:left="1440" w:hanging="720"/>
        <w:rPr>
          <w:spacing w:val="-3"/>
        </w:rPr>
      </w:pPr>
      <w:r>
        <w:rPr>
          <w:spacing w:val="-3"/>
        </w:rPr>
        <w:t>m)</w:t>
      </w:r>
      <w:r w:rsidR="004F6438" w:rsidRPr="004F6438">
        <w:rPr>
          <w:spacing w:val="-3"/>
        </w:rPr>
        <w:tab/>
        <w:t xml:space="preserve">All SEC Form 8-Ks </w:t>
      </w:r>
      <w:r>
        <w:rPr>
          <w:spacing w:val="-3"/>
        </w:rPr>
        <w:t>issued subsequent to</w:t>
      </w:r>
      <w:r w:rsidR="004F6438" w:rsidRPr="004F6438">
        <w:rPr>
          <w:spacing w:val="-3"/>
        </w:rPr>
        <w:t xml:space="preserve"> the SEC Form 10-K (subsection (</w:t>
      </w:r>
      <w:r>
        <w:rPr>
          <w:spacing w:val="-3"/>
        </w:rPr>
        <w:t>l</w:t>
      </w:r>
      <w:r w:rsidR="004F6438" w:rsidRPr="004F6438">
        <w:rPr>
          <w:spacing w:val="-3"/>
        </w:rPr>
        <w:t>)) of the utility and any parent company</w:t>
      </w:r>
      <w:r>
        <w:rPr>
          <w:spacing w:val="-3"/>
        </w:rPr>
        <w:t xml:space="preserve"> in paper copy</w:t>
      </w:r>
      <w:r w:rsidR="004F6438" w:rsidRPr="004F6438">
        <w:rPr>
          <w:spacing w:val="-3"/>
        </w:rPr>
        <w:t>.</w:t>
      </w:r>
    </w:p>
    <w:p w14:paraId="5E791E0F" w14:textId="77777777" w:rsidR="00E42AB0" w:rsidRDefault="00E42AB0" w:rsidP="002E4D78">
      <w:pPr>
        <w:rPr>
          <w:spacing w:val="-3"/>
        </w:rPr>
      </w:pPr>
    </w:p>
    <w:p w14:paraId="6783202E" w14:textId="77777777" w:rsidR="004F6438" w:rsidRPr="004F6438" w:rsidRDefault="00A61D64" w:rsidP="00D7791D">
      <w:pPr>
        <w:ind w:left="1440" w:hanging="720"/>
        <w:rPr>
          <w:spacing w:val="-3"/>
        </w:rPr>
      </w:pPr>
      <w:r>
        <w:rPr>
          <w:spacing w:val="-3"/>
        </w:rPr>
        <w:t>n)</w:t>
      </w:r>
      <w:r w:rsidR="004F6438" w:rsidRPr="004F6438">
        <w:rPr>
          <w:spacing w:val="-3"/>
        </w:rPr>
        <w:tab/>
        <w:t>All SEC Form 10-Qs issued subsequent to the SEC Form 10-K of the utility and any parent company as referenced in subsection (</w:t>
      </w:r>
      <w:r>
        <w:rPr>
          <w:spacing w:val="-3"/>
        </w:rPr>
        <w:t>m</w:t>
      </w:r>
      <w:r w:rsidR="004F6438" w:rsidRPr="004F6438">
        <w:rPr>
          <w:spacing w:val="-3"/>
        </w:rPr>
        <w:t>)</w:t>
      </w:r>
      <w:r>
        <w:rPr>
          <w:spacing w:val="-3"/>
        </w:rPr>
        <w:t xml:space="preserve"> in paper copy</w:t>
      </w:r>
      <w:r w:rsidR="004F6438" w:rsidRPr="004F6438">
        <w:rPr>
          <w:spacing w:val="-3"/>
        </w:rPr>
        <w:t>.</w:t>
      </w:r>
    </w:p>
    <w:p w14:paraId="2C7672C8" w14:textId="77777777" w:rsidR="00E42AB0" w:rsidRDefault="00E42AB0" w:rsidP="002E4D78">
      <w:pPr>
        <w:rPr>
          <w:spacing w:val="-3"/>
        </w:rPr>
      </w:pPr>
    </w:p>
    <w:p w14:paraId="571E35FA" w14:textId="77777777" w:rsidR="004F6438" w:rsidRPr="004F6438" w:rsidRDefault="00A61D64" w:rsidP="00D7791D">
      <w:pPr>
        <w:ind w:left="1440" w:hanging="720"/>
        <w:rPr>
          <w:spacing w:val="-3"/>
        </w:rPr>
      </w:pPr>
      <w:r>
        <w:rPr>
          <w:spacing w:val="-3"/>
        </w:rPr>
        <w:t>o)</w:t>
      </w:r>
      <w:r w:rsidR="004F6438" w:rsidRPr="004F6438">
        <w:rPr>
          <w:spacing w:val="-3"/>
        </w:rPr>
        <w:tab/>
        <w:t>Most recent prospectuses of common stock, preferred stock, and bond offerings of the utility and any parent company</w:t>
      </w:r>
      <w:r>
        <w:rPr>
          <w:spacing w:val="-3"/>
        </w:rPr>
        <w:t xml:space="preserve"> in paper copy</w:t>
      </w:r>
      <w:r w:rsidR="004F6438" w:rsidRPr="004F6438">
        <w:rPr>
          <w:spacing w:val="-3"/>
        </w:rPr>
        <w:t>.</w:t>
      </w:r>
    </w:p>
    <w:p w14:paraId="3D09910F" w14:textId="77777777" w:rsidR="00E42AB0" w:rsidRDefault="00E42AB0" w:rsidP="002E4D78">
      <w:pPr>
        <w:rPr>
          <w:spacing w:val="-3"/>
        </w:rPr>
      </w:pPr>
    </w:p>
    <w:p w14:paraId="330ED31A" w14:textId="77777777" w:rsidR="004F6438" w:rsidRPr="004F6438" w:rsidRDefault="00A61D64" w:rsidP="00D7791D">
      <w:pPr>
        <w:ind w:firstLine="720"/>
        <w:rPr>
          <w:spacing w:val="-3"/>
        </w:rPr>
      </w:pPr>
      <w:r>
        <w:rPr>
          <w:spacing w:val="-3"/>
        </w:rPr>
        <w:t>p)</w:t>
      </w:r>
      <w:r w:rsidR="004F6438" w:rsidRPr="004F6438">
        <w:rPr>
          <w:spacing w:val="-3"/>
        </w:rPr>
        <w:tab/>
        <w:t>Most recent proxy statement of the utility and any parent company</w:t>
      </w:r>
      <w:r>
        <w:rPr>
          <w:spacing w:val="-3"/>
        </w:rPr>
        <w:t xml:space="preserve"> in paper copy</w:t>
      </w:r>
      <w:r w:rsidR="004F6438" w:rsidRPr="004F6438">
        <w:rPr>
          <w:spacing w:val="-3"/>
        </w:rPr>
        <w:t>.</w:t>
      </w:r>
    </w:p>
    <w:p w14:paraId="5AC56070" w14:textId="77777777" w:rsidR="004F6438" w:rsidRDefault="004F6438" w:rsidP="00D7791D">
      <w:pPr>
        <w:rPr>
          <w:spacing w:val="-3"/>
        </w:rPr>
      </w:pPr>
    </w:p>
    <w:p w14:paraId="61119A47" w14:textId="77777777" w:rsidR="00A61D64" w:rsidRPr="00D55B37" w:rsidRDefault="00A61D64">
      <w:pPr>
        <w:pStyle w:val="JCARSourceNote"/>
        <w:ind w:left="720"/>
      </w:pPr>
      <w:r w:rsidRPr="00D55B37">
        <w:t xml:space="preserve">(Source:  </w:t>
      </w:r>
      <w:r>
        <w:t>Amended</w:t>
      </w:r>
      <w:r w:rsidRPr="00D55B37">
        <w:t xml:space="preserve"> at </w:t>
      </w:r>
      <w:r>
        <w:t>3</w:t>
      </w:r>
      <w:r w:rsidR="00D50870">
        <w:t>8</w:t>
      </w:r>
      <w:r>
        <w:t xml:space="preserve"> I</w:t>
      </w:r>
      <w:r w:rsidRPr="00D55B37">
        <w:t xml:space="preserve">ll. Reg. </w:t>
      </w:r>
      <w:r w:rsidR="008478FF">
        <w:t>7598</w:t>
      </w:r>
      <w:r w:rsidRPr="00D55B37">
        <w:t xml:space="preserve">, effective </w:t>
      </w:r>
      <w:r w:rsidR="008478FF">
        <w:t>March 20, 2014</w:t>
      </w:r>
      <w:r w:rsidRPr="00D55B37">
        <w:t>)</w:t>
      </w:r>
    </w:p>
    <w:sectPr w:rsidR="00A61D64" w:rsidRPr="00D55B37" w:rsidSect="00D7791D">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C9D1C" w14:textId="77777777" w:rsidR="00B14423" w:rsidRDefault="004471FA">
      <w:r>
        <w:separator/>
      </w:r>
    </w:p>
  </w:endnote>
  <w:endnote w:type="continuationSeparator" w:id="0">
    <w:p w14:paraId="19D25AD8" w14:textId="77777777" w:rsidR="00B14423" w:rsidRDefault="0044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87DB7" w14:textId="77777777" w:rsidR="00B14423" w:rsidRDefault="004471FA">
      <w:r>
        <w:separator/>
      </w:r>
    </w:p>
  </w:footnote>
  <w:footnote w:type="continuationSeparator" w:id="0">
    <w:p w14:paraId="684290A9" w14:textId="77777777" w:rsidR="00B14423" w:rsidRDefault="00447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75D70"/>
    <w:rsid w:val="001C7D95"/>
    <w:rsid w:val="001E3074"/>
    <w:rsid w:val="001F0679"/>
    <w:rsid w:val="00225354"/>
    <w:rsid w:val="002524EC"/>
    <w:rsid w:val="002A092A"/>
    <w:rsid w:val="002A643F"/>
    <w:rsid w:val="002E4D78"/>
    <w:rsid w:val="002F2046"/>
    <w:rsid w:val="00337CEB"/>
    <w:rsid w:val="00367A2E"/>
    <w:rsid w:val="003F3A28"/>
    <w:rsid w:val="003F5FD7"/>
    <w:rsid w:val="00431CFE"/>
    <w:rsid w:val="0044215B"/>
    <w:rsid w:val="004471FA"/>
    <w:rsid w:val="004D73D3"/>
    <w:rsid w:val="004F6438"/>
    <w:rsid w:val="005001C5"/>
    <w:rsid w:val="0052308E"/>
    <w:rsid w:val="00530BE1"/>
    <w:rsid w:val="00542E97"/>
    <w:rsid w:val="0056157E"/>
    <w:rsid w:val="0056501E"/>
    <w:rsid w:val="006A2114"/>
    <w:rsid w:val="006D2836"/>
    <w:rsid w:val="00780733"/>
    <w:rsid w:val="00797184"/>
    <w:rsid w:val="008271B1"/>
    <w:rsid w:val="00837F88"/>
    <w:rsid w:val="0084781C"/>
    <w:rsid w:val="008478FF"/>
    <w:rsid w:val="00896DCA"/>
    <w:rsid w:val="00935A8C"/>
    <w:rsid w:val="0098276C"/>
    <w:rsid w:val="00A2265D"/>
    <w:rsid w:val="00A3577E"/>
    <w:rsid w:val="00A600AA"/>
    <w:rsid w:val="00A61D64"/>
    <w:rsid w:val="00AE5547"/>
    <w:rsid w:val="00B14423"/>
    <w:rsid w:val="00B35D67"/>
    <w:rsid w:val="00B516F7"/>
    <w:rsid w:val="00B64728"/>
    <w:rsid w:val="00B71177"/>
    <w:rsid w:val="00B9263A"/>
    <w:rsid w:val="00BF58DA"/>
    <w:rsid w:val="00C4537A"/>
    <w:rsid w:val="00C96452"/>
    <w:rsid w:val="00CC13F9"/>
    <w:rsid w:val="00CD3723"/>
    <w:rsid w:val="00D16DA2"/>
    <w:rsid w:val="00D50870"/>
    <w:rsid w:val="00D55B37"/>
    <w:rsid w:val="00D7791D"/>
    <w:rsid w:val="00D93C67"/>
    <w:rsid w:val="00E42AB0"/>
    <w:rsid w:val="00E56F67"/>
    <w:rsid w:val="00E7288E"/>
    <w:rsid w:val="00EB424E"/>
    <w:rsid w:val="00F43DEE"/>
    <w:rsid w:val="00F62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F0307"/>
  <w15:docId w15:val="{FE0CAF2D-81ED-4726-A9D9-9C028D42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90649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2014-03-25T18:39:00Z</dcterms:created>
  <dcterms:modified xsi:type="dcterms:W3CDTF">2025-08-18T20:05:00Z</dcterms:modified>
</cp:coreProperties>
</file>