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D1" w:rsidRDefault="009D0AD1" w:rsidP="009D0AD1">
      <w:pPr>
        <w:widowControl w:val="0"/>
        <w:autoSpaceDE w:val="0"/>
        <w:autoSpaceDN w:val="0"/>
        <w:adjustRightInd w:val="0"/>
      </w:pPr>
      <w:bookmarkStart w:id="0" w:name="_GoBack"/>
      <w:bookmarkEnd w:id="0"/>
    </w:p>
    <w:p w:rsidR="009D0AD1" w:rsidRDefault="009D0AD1" w:rsidP="009D0AD1">
      <w:pPr>
        <w:widowControl w:val="0"/>
        <w:autoSpaceDE w:val="0"/>
        <w:autoSpaceDN w:val="0"/>
        <w:adjustRightInd w:val="0"/>
      </w:pPr>
      <w:r>
        <w:rPr>
          <w:b/>
          <w:bCs/>
        </w:rPr>
        <w:t>Section 280.150  Service Reconnection Charge</w:t>
      </w:r>
      <w:r>
        <w:t xml:space="preserve"> </w:t>
      </w:r>
    </w:p>
    <w:p w:rsidR="009D0AD1" w:rsidRDefault="009D0AD1" w:rsidP="009D0AD1">
      <w:pPr>
        <w:widowControl w:val="0"/>
        <w:autoSpaceDE w:val="0"/>
        <w:autoSpaceDN w:val="0"/>
        <w:adjustRightInd w:val="0"/>
      </w:pPr>
    </w:p>
    <w:p w:rsidR="009D0AD1" w:rsidRDefault="009D0AD1" w:rsidP="009D0AD1">
      <w:pPr>
        <w:widowControl w:val="0"/>
        <w:autoSpaceDE w:val="0"/>
        <w:autoSpaceDN w:val="0"/>
        <w:adjustRightInd w:val="0"/>
      </w:pPr>
      <w:r>
        <w:t xml:space="preserve">When service has been discontinued pursuant to Section 280.130 herein, the utility may charge and collect the reconnection charge, if any, set forth in its rules, regulations or terms and conditions of service which are on file with the Commission.  Such rules, as filed, shall provide for the automatic waiver of one service reconnection charge for each customer for each year. For gas utilities and electric utilities, such automatic waiver shall apply only to reconnection at the meter.  For water utilities and sanitary sewer utilities, such automatic waiver shall apply to reconnection at the meter or curb valve (buffalo box).  Customers may be liable for the additional costs incurred in disconnecting and reconnecting service other than at the meter, or for water utilities and sanitary sewer utilities, other than at the curb valve. </w:t>
      </w:r>
    </w:p>
    <w:sectPr w:rsidR="009D0AD1" w:rsidSect="009D0A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AD1"/>
    <w:rsid w:val="00043405"/>
    <w:rsid w:val="00197CE6"/>
    <w:rsid w:val="005C3366"/>
    <w:rsid w:val="007C7A1A"/>
    <w:rsid w:val="009D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