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68" w:rsidRDefault="004B3168" w:rsidP="004B31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168" w:rsidRDefault="004B3168" w:rsidP="004B3168">
      <w:pPr>
        <w:widowControl w:val="0"/>
        <w:autoSpaceDE w:val="0"/>
        <w:autoSpaceDN w:val="0"/>
        <w:adjustRightInd w:val="0"/>
      </w:pPr>
      <w:r>
        <w:t xml:space="preserve">SOURCE:  Filed and effective November 19, 1975; codified at 8 Ill. Reg. 5146; amended at 9 Ill. Reg. 1043, effective January 16, 1985; emergency amendment at 11 Ill. Reg. 20233, effective December 1, 1987, for a maximum of 150 days; amended at 12 Ill. Reg. 7580, effective April 27, 1988. </w:t>
      </w:r>
      <w:r>
        <w:tab/>
      </w:r>
    </w:p>
    <w:sectPr w:rsidR="004B3168" w:rsidSect="004B3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168"/>
    <w:rsid w:val="00221B97"/>
    <w:rsid w:val="002C213B"/>
    <w:rsid w:val="004B3168"/>
    <w:rsid w:val="005C3366"/>
    <w:rsid w:val="008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November 19, 1975; codified at 8 Ill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November 19,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