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BE" w:rsidRDefault="003F66BE">
      <w:pPr>
        <w:widowControl w:val="0"/>
        <w:autoSpaceDE w:val="0"/>
        <w:autoSpaceDN w:val="0"/>
        <w:adjustRightInd w:val="0"/>
      </w:pPr>
      <w:bookmarkStart w:id="0" w:name="_GoBack"/>
      <w:bookmarkEnd w:id="0"/>
    </w:p>
    <w:p w:rsidR="003F66BE" w:rsidRDefault="003F66BE">
      <w:pPr>
        <w:widowControl w:val="0"/>
        <w:autoSpaceDE w:val="0"/>
        <w:autoSpaceDN w:val="0"/>
        <w:adjustRightInd w:val="0"/>
        <w:ind w:left="720" w:hanging="720"/>
      </w:pPr>
      <w:r>
        <w:rPr>
          <w:b/>
          <w:bCs/>
        </w:rPr>
        <w:t>Section 265.20  Application of Rules</w:t>
      </w:r>
      <w:r>
        <w:t xml:space="preserve"> </w:t>
      </w:r>
    </w:p>
    <w:p w:rsidR="003F66BE" w:rsidRDefault="003F66BE">
      <w:pPr>
        <w:widowControl w:val="0"/>
        <w:autoSpaceDE w:val="0"/>
        <w:autoSpaceDN w:val="0"/>
        <w:adjustRightInd w:val="0"/>
        <w:ind w:left="720" w:hanging="720"/>
      </w:pPr>
    </w:p>
    <w:p w:rsidR="003F66BE" w:rsidRDefault="003F66BE" w:rsidP="0078032D">
      <w:pPr>
        <w:widowControl w:val="0"/>
        <w:autoSpaceDE w:val="0"/>
        <w:autoSpaceDN w:val="0"/>
        <w:adjustRightInd w:val="0"/>
      </w:pPr>
      <w:r>
        <w:t xml:space="preserve">This Part shall apply to any person and any owner or operator of underground utility facilities. Except for the provisions in Section 265.100, this Part is not applicable to any person or any owner or operator of underground utility facilities with respect to any excavation or demolition within the boundaries of a municipality of at least one million persons that operates its own underground facility notice system. </w:t>
      </w:r>
    </w:p>
    <w:sectPr w:rsidR="003F66B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6BE"/>
    <w:rsid w:val="003F66BE"/>
    <w:rsid w:val="0078032D"/>
    <w:rsid w:val="007D1978"/>
    <w:rsid w:val="00D923FE"/>
    <w:rsid w:val="00DC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