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BF" w:rsidRDefault="003103BF" w:rsidP="00310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3BF" w:rsidRDefault="003103BF" w:rsidP="003103BF">
      <w:pPr>
        <w:widowControl w:val="0"/>
        <w:autoSpaceDE w:val="0"/>
        <w:autoSpaceDN w:val="0"/>
        <w:adjustRightInd w:val="0"/>
      </w:pPr>
      <w:r>
        <w:t xml:space="preserve">SOURCE:  Filed and effective July 10, 1946; amended at 4 Ill. Reg. 13, p. 1284, effective March 12, 1980; amended at 5 Ill. Reg. 6775, effective June 12, 1981; codified at 8 Ill. Reg. 7600; amended at 9 Ill. Reg. 11807, effective July 25, 1985; amended at 10 Ill. Reg. 144, effective December 23, 1985; amended at 11 Ill. Reg. 16119, effective October 1, 1987; amended at 17 Ill. Reg. 798, effective January 15, 1993. </w:t>
      </w:r>
      <w:r>
        <w:tab/>
      </w:r>
    </w:p>
    <w:sectPr w:rsidR="003103BF" w:rsidSect="00310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3BF"/>
    <w:rsid w:val="003103BF"/>
    <w:rsid w:val="005C3366"/>
    <w:rsid w:val="006D6695"/>
    <w:rsid w:val="00833C4C"/>
    <w:rsid w:val="00D5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10, 1946; amended at 4 Ill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10, 1946; amended at 4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