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7B" w:rsidRDefault="00C4067B" w:rsidP="00C406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67B" w:rsidRDefault="00C4067B" w:rsidP="00C4067B">
      <w:pPr>
        <w:widowControl w:val="0"/>
        <w:autoSpaceDE w:val="0"/>
        <w:autoSpaceDN w:val="0"/>
        <w:adjustRightInd w:val="0"/>
      </w:pPr>
      <w:r>
        <w:t xml:space="preserve">SOURCE:  Filed and effective December 7, 1973; codified at 8 Ill. Reg. 12181; amended at 13 Ill. Reg. 4650, effective April 1, 1989; amended at 25 Ill. Reg. 14840, effective November 1, 2001. </w:t>
      </w:r>
      <w:r>
        <w:tab/>
      </w:r>
    </w:p>
    <w:sectPr w:rsidR="00C4067B" w:rsidSect="00C406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67B"/>
    <w:rsid w:val="004028A4"/>
    <w:rsid w:val="004E7AFB"/>
    <w:rsid w:val="005C3366"/>
    <w:rsid w:val="00C4067B"/>
    <w:rsid w:val="00E0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7, 1973; codified at 8 Ill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7, 1973;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