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71" w:rsidRDefault="00007A71" w:rsidP="009B1A8C">
      <w:pPr>
        <w:rPr>
          <w:b/>
        </w:rPr>
      </w:pPr>
      <w:bookmarkStart w:id="0" w:name="_GoBack"/>
      <w:bookmarkEnd w:id="0"/>
    </w:p>
    <w:p w:rsidR="009B1A8C" w:rsidRPr="009B1A8C" w:rsidRDefault="009B1A8C" w:rsidP="009B1A8C">
      <w:pPr>
        <w:rPr>
          <w:b/>
        </w:rPr>
      </w:pPr>
      <w:r w:rsidRPr="009B1A8C">
        <w:rPr>
          <w:b/>
        </w:rPr>
        <w:t>Section 202.550  Arbitration Decision</w:t>
      </w:r>
    </w:p>
    <w:p w:rsidR="009B1A8C" w:rsidRPr="009B1A8C" w:rsidRDefault="009B1A8C" w:rsidP="009B1A8C"/>
    <w:p w:rsidR="009B1A8C" w:rsidRPr="009B1A8C" w:rsidRDefault="009B1A8C" w:rsidP="009B1A8C">
      <w:r w:rsidRPr="009B1A8C">
        <w:t>Following the receipt of any Brief on Exceptions and Brief in Reply to Exceptions, the arbitrator shall prepare a written arbitration decision consistent with the requirements of Section 202.520.</w:t>
      </w:r>
    </w:p>
    <w:sectPr w:rsidR="009B1A8C" w:rsidRPr="009B1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5A" w:rsidRDefault="001C635A">
      <w:r>
        <w:separator/>
      </w:r>
    </w:p>
  </w:endnote>
  <w:endnote w:type="continuationSeparator" w:id="0">
    <w:p w:rsidR="001C635A" w:rsidRDefault="001C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5A" w:rsidRDefault="001C635A">
      <w:r>
        <w:separator/>
      </w:r>
    </w:p>
  </w:footnote>
  <w:footnote w:type="continuationSeparator" w:id="0">
    <w:p w:rsidR="001C635A" w:rsidRDefault="001C6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A8C"/>
    <w:rsid w:val="00001F1D"/>
    <w:rsid w:val="00007A71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976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635A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1FAA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1A8C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0057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