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85" w:rsidRDefault="00297B85" w:rsidP="00BD1302">
      <w:pPr>
        <w:rPr>
          <w:b/>
        </w:rPr>
      </w:pPr>
      <w:bookmarkStart w:id="0" w:name="_GoBack"/>
      <w:bookmarkEnd w:id="0"/>
    </w:p>
    <w:p w:rsidR="00BD1302" w:rsidRPr="00BD1302" w:rsidRDefault="00BD1302" w:rsidP="00BD1302">
      <w:pPr>
        <w:rPr>
          <w:b/>
        </w:rPr>
      </w:pPr>
      <w:r w:rsidRPr="00BD1302">
        <w:rPr>
          <w:b/>
        </w:rPr>
        <w:t>Section 202.450  Information to be Under Oath or Affirmation</w:t>
      </w:r>
    </w:p>
    <w:p w:rsidR="00BD1302" w:rsidRPr="00BD1302" w:rsidRDefault="00BD1302" w:rsidP="00BD1302"/>
    <w:p w:rsidR="00BD1302" w:rsidRPr="00BD1302" w:rsidRDefault="00BD1302" w:rsidP="00BD1302">
      <w:r w:rsidRPr="00BD1302">
        <w:t>All orally presented information to be considered at the arbitration hearing shall be sworn or affirmed. All other information submitted at the arbitration hearing shall be verified pursuant to Section 202.120(b).</w:t>
      </w:r>
    </w:p>
    <w:sectPr w:rsidR="00BD1302" w:rsidRPr="00BD130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D8" w:rsidRDefault="00A41BD8">
      <w:r>
        <w:separator/>
      </w:r>
    </w:p>
  </w:endnote>
  <w:endnote w:type="continuationSeparator" w:id="0">
    <w:p w:rsidR="00A41BD8" w:rsidRDefault="00A4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D8" w:rsidRDefault="00A41BD8">
      <w:r>
        <w:separator/>
      </w:r>
    </w:p>
  </w:footnote>
  <w:footnote w:type="continuationSeparator" w:id="0">
    <w:p w:rsidR="00A41BD8" w:rsidRDefault="00A4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30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0C50"/>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7B8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1BD8"/>
    <w:rsid w:val="00A42797"/>
    <w:rsid w:val="00A43A2E"/>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130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5FE"/>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04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