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37" w:rsidRDefault="001F2A37" w:rsidP="001F2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A37" w:rsidRDefault="001F2A37" w:rsidP="001F2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200.390  Motion to Quash Subpoena</w:t>
      </w:r>
      <w:r>
        <w:t xml:space="preserve"> </w:t>
      </w:r>
    </w:p>
    <w:p w:rsidR="001F2A37" w:rsidRDefault="001F2A37" w:rsidP="001F2A37">
      <w:pPr>
        <w:widowControl w:val="0"/>
        <w:autoSpaceDE w:val="0"/>
        <w:autoSpaceDN w:val="0"/>
        <w:adjustRightInd w:val="0"/>
      </w:pPr>
    </w:p>
    <w:p w:rsidR="001F2A37" w:rsidRDefault="001F2A37" w:rsidP="001F2A37">
      <w:pPr>
        <w:widowControl w:val="0"/>
        <w:autoSpaceDE w:val="0"/>
        <w:autoSpaceDN w:val="0"/>
        <w:adjustRightInd w:val="0"/>
      </w:pPr>
      <w:r>
        <w:t xml:space="preserve">The Hearing Examiner, upon motion, may quash or modify a subpoena or subpoena </w:t>
      </w:r>
      <w:proofErr w:type="spellStart"/>
      <w:r>
        <w:t>duces</w:t>
      </w:r>
      <w:proofErr w:type="spellEnd"/>
      <w:r>
        <w:t xml:space="preserve"> </w:t>
      </w:r>
      <w:proofErr w:type="spellStart"/>
      <w:r>
        <w:t>tecum</w:t>
      </w:r>
      <w:proofErr w:type="spellEnd"/>
      <w:r>
        <w:t xml:space="preserve"> for good cause shown, including, without limitation, a showing that the subpoena is unreasonable or oppressive or relates to irrelevant or immaterial matters.  Denial of a motion to quash may, in the case of a subpoena </w:t>
      </w:r>
      <w:proofErr w:type="spellStart"/>
      <w:r>
        <w:t>duces</w:t>
      </w:r>
      <w:proofErr w:type="spellEnd"/>
      <w:r>
        <w:t xml:space="preserve"> </w:t>
      </w:r>
      <w:proofErr w:type="spellStart"/>
      <w:r>
        <w:t>tecum</w:t>
      </w:r>
      <w:proofErr w:type="spellEnd"/>
      <w:r>
        <w:t xml:space="preserve">, be conditioned upon the advancement, by the party who requested the subpoena, of the reasonable cost of producing the books, records or other documents subpoenaed. </w:t>
      </w:r>
    </w:p>
    <w:sectPr w:rsidR="001F2A37" w:rsidSect="001F2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A37"/>
    <w:rsid w:val="001F2A37"/>
    <w:rsid w:val="005A20AD"/>
    <w:rsid w:val="005C3366"/>
    <w:rsid w:val="00802061"/>
    <w:rsid w:val="00B4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