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F0E" w:rsidRDefault="00983F0E" w:rsidP="00983F0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83F0E" w:rsidRDefault="00983F0E" w:rsidP="00983F0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200.185  Satisfaction of Complaint</w:t>
      </w:r>
      <w:r>
        <w:t xml:space="preserve"> </w:t>
      </w:r>
    </w:p>
    <w:p w:rsidR="00983F0E" w:rsidRDefault="00983F0E" w:rsidP="00983F0E">
      <w:pPr>
        <w:widowControl w:val="0"/>
        <w:autoSpaceDE w:val="0"/>
        <w:autoSpaceDN w:val="0"/>
        <w:adjustRightInd w:val="0"/>
      </w:pPr>
    </w:p>
    <w:p w:rsidR="00983F0E" w:rsidRDefault="00983F0E" w:rsidP="00983F0E">
      <w:pPr>
        <w:widowControl w:val="0"/>
        <w:autoSpaceDE w:val="0"/>
        <w:autoSpaceDN w:val="0"/>
        <w:adjustRightInd w:val="0"/>
      </w:pPr>
      <w:r>
        <w:t xml:space="preserve">If a respondent satisfies a formal complaint during the pendency of the proceeding, a stipulation signed by all parties or those parties for whom the complaint was satisfied requesting the dismissal of the complaint shall be filed with the Commission. If made at a hearing, such stipulation may be oral. </w:t>
      </w:r>
    </w:p>
    <w:p w:rsidR="00983F0E" w:rsidRDefault="00983F0E" w:rsidP="00983F0E">
      <w:pPr>
        <w:widowControl w:val="0"/>
        <w:autoSpaceDE w:val="0"/>
        <w:autoSpaceDN w:val="0"/>
        <w:adjustRightInd w:val="0"/>
      </w:pPr>
    </w:p>
    <w:p w:rsidR="00983F0E" w:rsidRDefault="00983F0E" w:rsidP="00983F0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24 Ill. Reg. 16019, effective October 15, 2000) </w:t>
      </w:r>
    </w:p>
    <w:sectPr w:rsidR="00983F0E" w:rsidSect="00983F0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3F0E"/>
    <w:rsid w:val="00207959"/>
    <w:rsid w:val="005C3366"/>
    <w:rsid w:val="007D364A"/>
    <w:rsid w:val="00983F0E"/>
    <w:rsid w:val="00A6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Roberts, John</cp:lastModifiedBy>
  <cp:revision>3</cp:revision>
  <dcterms:created xsi:type="dcterms:W3CDTF">2012-06-21T18:53:00Z</dcterms:created>
  <dcterms:modified xsi:type="dcterms:W3CDTF">2012-06-21T18:53:00Z</dcterms:modified>
</cp:coreProperties>
</file>