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43" w:rsidRDefault="00FA5D43" w:rsidP="00FA5D4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5D43" w:rsidRDefault="00FA5D43" w:rsidP="00FA5D43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3100.900  Willful and Wanton Misconduct</w:t>
      </w:r>
      <w:r>
        <w:t xml:space="preserve"> </w:t>
      </w:r>
    </w:p>
    <w:p w:rsidR="00FA5D43" w:rsidRDefault="00FA5D43" w:rsidP="00FA5D43">
      <w:pPr>
        <w:widowControl w:val="0"/>
        <w:autoSpaceDE w:val="0"/>
        <w:autoSpaceDN w:val="0"/>
        <w:adjustRightInd w:val="0"/>
      </w:pPr>
    </w:p>
    <w:p w:rsidR="00FA5D43" w:rsidRDefault="00FA5D43" w:rsidP="00FA5D43">
      <w:pPr>
        <w:widowControl w:val="0"/>
        <w:autoSpaceDE w:val="0"/>
        <w:autoSpaceDN w:val="0"/>
        <w:adjustRightInd w:val="0"/>
      </w:pPr>
      <w:r>
        <w:t xml:space="preserve">For the purposes of this Part, an employee shall be deemed to have engaged in willful and wanton misconduct when the employee operated the motor vehicle involved in a manner which demonstrates an intentional disregard for the safety of other persons or property. </w:t>
      </w:r>
    </w:p>
    <w:p w:rsidR="00FA5D43" w:rsidRDefault="00FA5D43" w:rsidP="00FA5D43">
      <w:pPr>
        <w:widowControl w:val="0"/>
        <w:autoSpaceDE w:val="0"/>
        <w:autoSpaceDN w:val="0"/>
        <w:adjustRightInd w:val="0"/>
      </w:pPr>
    </w:p>
    <w:p w:rsidR="00FA5D43" w:rsidRDefault="00FA5D43" w:rsidP="00FA5D4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10036, effective July 15, 1997) </w:t>
      </w:r>
    </w:p>
    <w:sectPr w:rsidR="00FA5D43" w:rsidSect="00FA5D4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5D43"/>
    <w:rsid w:val="001D7748"/>
    <w:rsid w:val="00202DB6"/>
    <w:rsid w:val="004322F4"/>
    <w:rsid w:val="005C3366"/>
    <w:rsid w:val="00FA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