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EB" w:rsidRDefault="00D23AEB" w:rsidP="00D23AEB">
      <w:pPr>
        <w:widowControl w:val="0"/>
        <w:autoSpaceDE w:val="0"/>
        <w:autoSpaceDN w:val="0"/>
        <w:adjustRightInd w:val="0"/>
      </w:pPr>
      <w:bookmarkStart w:id="0" w:name="_GoBack"/>
      <w:bookmarkEnd w:id="0"/>
    </w:p>
    <w:p w:rsidR="00D23AEB" w:rsidRDefault="00D23AEB" w:rsidP="00D23AEB">
      <w:pPr>
        <w:widowControl w:val="0"/>
        <w:autoSpaceDE w:val="0"/>
        <w:autoSpaceDN w:val="0"/>
        <w:adjustRightInd w:val="0"/>
      </w:pPr>
      <w:r>
        <w:rPr>
          <w:b/>
          <w:bCs/>
        </w:rPr>
        <w:t>Section 3000.120  Policy</w:t>
      </w:r>
      <w:r>
        <w:t xml:space="preserve"> </w:t>
      </w:r>
    </w:p>
    <w:p w:rsidR="00D23AEB" w:rsidRDefault="00D23AEB" w:rsidP="00D23AEB">
      <w:pPr>
        <w:widowControl w:val="0"/>
        <w:autoSpaceDE w:val="0"/>
        <w:autoSpaceDN w:val="0"/>
        <w:adjustRightInd w:val="0"/>
      </w:pPr>
    </w:p>
    <w:p w:rsidR="00D23AEB" w:rsidRDefault="00D23AEB" w:rsidP="00D23AEB">
      <w:pPr>
        <w:widowControl w:val="0"/>
        <w:autoSpaceDE w:val="0"/>
        <w:autoSpaceDN w:val="0"/>
        <w:adjustRightInd w:val="0"/>
      </w:pPr>
      <w:r>
        <w:t xml:space="preserve">It is the policy of the State to reimburse employees for reasonable authorized expenses incurred by them in the performance of their duties.  The Travel Regulation Council will at least biennially review and revise rates to reflect, as accurately as possible, the actual amounts necessary to reimburse employees.  Rates of reimbursement are shown in Appendix A, Reimbursement Schedule. </w:t>
      </w:r>
    </w:p>
    <w:sectPr w:rsidR="00D23AEB" w:rsidSect="00D23A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AEB"/>
    <w:rsid w:val="00063B21"/>
    <w:rsid w:val="005C3366"/>
    <w:rsid w:val="005C4D27"/>
    <w:rsid w:val="00790E30"/>
    <w:rsid w:val="00D2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2012-06-21T18:50:00Z</dcterms:created>
  <dcterms:modified xsi:type="dcterms:W3CDTF">2012-06-21T18:50:00Z</dcterms:modified>
</cp:coreProperties>
</file>