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8432" w14:textId="77777777" w:rsidR="00705D5D" w:rsidRPr="00705D5D" w:rsidRDefault="00705D5D" w:rsidP="00705D5D">
      <w:pPr>
        <w:tabs>
          <w:tab w:val="left" w:pos="9360"/>
        </w:tabs>
      </w:pPr>
    </w:p>
    <w:p w14:paraId="3B4831B4" w14:textId="77777777" w:rsidR="00705D5D" w:rsidRPr="00705D5D" w:rsidRDefault="00705D5D" w:rsidP="00705D5D">
      <w:pPr>
        <w:tabs>
          <w:tab w:val="left" w:pos="9360"/>
        </w:tabs>
      </w:pPr>
      <w:r w:rsidRPr="00705D5D">
        <w:rPr>
          <w:b/>
          <w:bCs/>
        </w:rPr>
        <w:t xml:space="preserve">Section 2800.610  </w:t>
      </w:r>
      <w:bookmarkStart w:id="0" w:name="_Hlk107227280"/>
      <w:r w:rsidRPr="00705D5D">
        <w:rPr>
          <w:b/>
          <w:bCs/>
        </w:rPr>
        <w:t>Out-of-Country Travel Expenses</w:t>
      </w:r>
      <w:r w:rsidRPr="00705D5D">
        <w:t xml:space="preserve"> </w:t>
      </w:r>
      <w:bookmarkEnd w:id="0"/>
    </w:p>
    <w:p w14:paraId="5BA7A16D" w14:textId="77777777" w:rsidR="00705D5D" w:rsidRPr="00705D5D" w:rsidRDefault="00705D5D" w:rsidP="00705D5D">
      <w:pPr>
        <w:tabs>
          <w:tab w:val="left" w:pos="9360"/>
        </w:tabs>
      </w:pPr>
    </w:p>
    <w:p w14:paraId="48E8C709" w14:textId="77777777" w:rsidR="00705D5D" w:rsidRPr="00705D5D" w:rsidRDefault="00705D5D" w:rsidP="00705D5D">
      <w:pPr>
        <w:tabs>
          <w:tab w:val="left" w:pos="9360"/>
        </w:tabs>
      </w:pPr>
      <w:r w:rsidRPr="00705D5D">
        <w:t>When an employee is on travel status and is travelling out of the country, all expenses related to lodging, transportation and meals shall be reimbursable by the State so long as such expenses are reasonable, as determined by the approving Agency head or their designee.</w:t>
      </w:r>
    </w:p>
    <w:p w14:paraId="780CA210" w14:textId="40B175B1" w:rsidR="000174EB" w:rsidRDefault="000174EB" w:rsidP="00093935"/>
    <w:p w14:paraId="72FCD9B8" w14:textId="689A5A07" w:rsidR="00705D5D" w:rsidRPr="00705D5D" w:rsidRDefault="00705D5D" w:rsidP="00705D5D">
      <w:pPr>
        <w:ind w:firstLine="720"/>
      </w:pPr>
      <w:r>
        <w:t xml:space="preserve">(Source:  Added at 46 Ill. Reg. </w:t>
      </w:r>
      <w:r w:rsidR="00293AAA">
        <w:t>20205</w:t>
      </w:r>
      <w:r>
        <w:t xml:space="preserve">, effective </w:t>
      </w:r>
      <w:r w:rsidR="00293AAA">
        <w:t>December 6, 2022</w:t>
      </w:r>
      <w:r>
        <w:t>)</w:t>
      </w:r>
    </w:p>
    <w:sectPr w:rsidR="00705D5D" w:rsidRPr="00705D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5CC6" w14:textId="77777777" w:rsidR="005B5856" w:rsidRDefault="005B5856">
      <w:r>
        <w:separator/>
      </w:r>
    </w:p>
  </w:endnote>
  <w:endnote w:type="continuationSeparator" w:id="0">
    <w:p w14:paraId="626728A2" w14:textId="77777777" w:rsidR="005B5856" w:rsidRDefault="005B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2F15" w14:textId="77777777" w:rsidR="005B5856" w:rsidRDefault="005B5856">
      <w:r>
        <w:separator/>
      </w:r>
    </w:p>
  </w:footnote>
  <w:footnote w:type="continuationSeparator" w:id="0">
    <w:p w14:paraId="06E12899" w14:textId="77777777" w:rsidR="005B5856" w:rsidRDefault="005B5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AAA"/>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856"/>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D5D"/>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0F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A9191"/>
  <w15:chartTrackingRefBased/>
  <w15:docId w15:val="{B0BE8C02-21FB-40B9-A3C7-919919CC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D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2022-11-14T20:23:00Z</dcterms:created>
  <dcterms:modified xsi:type="dcterms:W3CDTF">2022-12-22T13:20:00Z</dcterms:modified>
</cp:coreProperties>
</file>