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95" w:rsidRDefault="00B82F95" w:rsidP="00B82F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2F95" w:rsidRDefault="00B82F95" w:rsidP="00B82F95">
      <w:pPr>
        <w:widowControl w:val="0"/>
        <w:autoSpaceDE w:val="0"/>
        <w:autoSpaceDN w:val="0"/>
        <w:adjustRightInd w:val="0"/>
      </w:pPr>
      <w:r>
        <w:t>SOURCE:  Emergency rule adopted at 5 Ill. Reg. 1801, effective April 1, 1981, for a maximum of 150 days; adopted at 7 Ill. Reg. 7120, effective June 23, 1983;</w:t>
      </w:r>
      <w:r w:rsidR="00501ACA">
        <w:t xml:space="preserve"> codified at 8 Ill. Reg. 4515. </w:t>
      </w:r>
    </w:p>
    <w:sectPr w:rsidR="00B82F95" w:rsidSect="00B82F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2F95"/>
    <w:rsid w:val="00006953"/>
    <w:rsid w:val="00501ACA"/>
    <w:rsid w:val="005C3366"/>
    <w:rsid w:val="0080055A"/>
    <w:rsid w:val="00955880"/>
    <w:rsid w:val="00B8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5 Ill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5 Ill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