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D55" w:rsidRDefault="009D2D55" w:rsidP="009D2D55">
      <w:pPr>
        <w:widowControl w:val="0"/>
        <w:autoSpaceDE w:val="0"/>
        <w:autoSpaceDN w:val="0"/>
        <w:adjustRightInd w:val="0"/>
      </w:pPr>
      <w:bookmarkStart w:id="0" w:name="_GoBack"/>
      <w:bookmarkEnd w:id="0"/>
    </w:p>
    <w:p w:rsidR="009D2D55" w:rsidRDefault="009D2D55" w:rsidP="009D2D55">
      <w:pPr>
        <w:widowControl w:val="0"/>
        <w:autoSpaceDE w:val="0"/>
        <w:autoSpaceDN w:val="0"/>
        <w:adjustRightInd w:val="0"/>
      </w:pPr>
      <w:r>
        <w:rPr>
          <w:b/>
          <w:bCs/>
        </w:rPr>
        <w:t>Section 2675.60  Methods of Giving</w:t>
      </w:r>
      <w:r>
        <w:t xml:space="preserve"> </w:t>
      </w:r>
    </w:p>
    <w:p w:rsidR="009D2D55" w:rsidRDefault="009D2D55" w:rsidP="009D2D55">
      <w:pPr>
        <w:widowControl w:val="0"/>
        <w:autoSpaceDE w:val="0"/>
        <w:autoSpaceDN w:val="0"/>
        <w:adjustRightInd w:val="0"/>
      </w:pPr>
    </w:p>
    <w:p w:rsidR="009D2D55" w:rsidRDefault="009D2D55" w:rsidP="009D2D55">
      <w:pPr>
        <w:widowControl w:val="0"/>
        <w:autoSpaceDE w:val="0"/>
        <w:autoSpaceDN w:val="0"/>
        <w:adjustRightInd w:val="0"/>
        <w:ind w:left="1440" w:hanging="720"/>
      </w:pPr>
      <w:r>
        <w:t>a)</w:t>
      </w:r>
      <w:r>
        <w:tab/>
        <w:t xml:space="preserve">The University of Illinois at Urbana will offer payroll deductions to qualified organizations within the limitations of the current University payroll system. </w:t>
      </w:r>
    </w:p>
    <w:p w:rsidR="004C2C7F" w:rsidRDefault="004C2C7F" w:rsidP="009D2D55">
      <w:pPr>
        <w:widowControl w:val="0"/>
        <w:autoSpaceDE w:val="0"/>
        <w:autoSpaceDN w:val="0"/>
        <w:adjustRightInd w:val="0"/>
        <w:ind w:left="1440" w:hanging="720"/>
      </w:pPr>
    </w:p>
    <w:p w:rsidR="009D2D55" w:rsidRDefault="009D2D55" w:rsidP="009D2D55">
      <w:pPr>
        <w:widowControl w:val="0"/>
        <w:autoSpaceDE w:val="0"/>
        <w:autoSpaceDN w:val="0"/>
        <w:adjustRightInd w:val="0"/>
        <w:ind w:left="1440" w:hanging="720"/>
      </w:pPr>
      <w:r>
        <w:t>b)</w:t>
      </w:r>
      <w:r>
        <w:tab/>
        <w:t xml:space="preserve">Contributions of cash and checks will be accepted as donations on behalf of Participating Agencies who are eligible to participate in the CCFD. </w:t>
      </w:r>
    </w:p>
    <w:p w:rsidR="004C2C7F" w:rsidRDefault="004C2C7F" w:rsidP="009D2D55">
      <w:pPr>
        <w:widowControl w:val="0"/>
        <w:autoSpaceDE w:val="0"/>
        <w:autoSpaceDN w:val="0"/>
        <w:adjustRightInd w:val="0"/>
        <w:ind w:left="1440" w:hanging="720"/>
      </w:pPr>
    </w:p>
    <w:p w:rsidR="009D2D55" w:rsidRDefault="009D2D55" w:rsidP="009D2D55">
      <w:pPr>
        <w:widowControl w:val="0"/>
        <w:autoSpaceDE w:val="0"/>
        <w:autoSpaceDN w:val="0"/>
        <w:adjustRightInd w:val="0"/>
        <w:ind w:left="1440" w:hanging="720"/>
      </w:pPr>
      <w:r>
        <w:t>c)</w:t>
      </w:r>
      <w:r>
        <w:tab/>
        <w:t xml:space="preserve">The Advisory Board will publish an annual CCFD pledge card and brochure which will cover the collection and designation procedures to be used, provide information about the Participating Agencies, and encourage employee giving. </w:t>
      </w:r>
    </w:p>
    <w:p w:rsidR="009D2D55" w:rsidRDefault="009D2D55" w:rsidP="009D2D55">
      <w:pPr>
        <w:widowControl w:val="0"/>
        <w:autoSpaceDE w:val="0"/>
        <w:autoSpaceDN w:val="0"/>
        <w:adjustRightInd w:val="0"/>
        <w:ind w:left="1440" w:hanging="720"/>
      </w:pPr>
    </w:p>
    <w:sectPr w:rsidR="009D2D55" w:rsidSect="009D2D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D55"/>
    <w:rsid w:val="004C2C7F"/>
    <w:rsid w:val="005C3366"/>
    <w:rsid w:val="009D2D55"/>
    <w:rsid w:val="009F3D4A"/>
    <w:rsid w:val="00B65F79"/>
    <w:rsid w:val="00BE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